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page" w:horzAnchor="margin" w:tblpXSpec="center" w:tblpY="2926"/>
        <w:tblW w:w="15341" w:type="dxa"/>
        <w:tblLook w:val="04A0"/>
      </w:tblPr>
      <w:tblGrid>
        <w:gridCol w:w="1843"/>
        <w:gridCol w:w="4073"/>
        <w:gridCol w:w="2860"/>
        <w:gridCol w:w="4767"/>
        <w:gridCol w:w="1798"/>
      </w:tblGrid>
      <w:tr w:rsidR="008315C2" w:rsidTr="00D15322">
        <w:trPr>
          <w:trHeight w:val="729"/>
        </w:trPr>
        <w:tc>
          <w:tcPr>
            <w:tcW w:w="1843" w:type="dxa"/>
            <w:vAlign w:val="center"/>
          </w:tcPr>
          <w:p w:rsidR="008315C2" w:rsidRDefault="008315C2" w:rsidP="00D15322">
            <w:pPr>
              <w:pStyle w:val="Default"/>
              <w:jc w:val="center"/>
              <w:rPr>
                <w:color w:val="auto"/>
              </w:rPr>
            </w:pPr>
            <w:r>
              <w:t>FASE</w:t>
            </w:r>
          </w:p>
        </w:tc>
        <w:tc>
          <w:tcPr>
            <w:tcW w:w="4073" w:type="dxa"/>
            <w:vAlign w:val="center"/>
          </w:tcPr>
          <w:p w:rsidR="008315C2" w:rsidRDefault="008315C2" w:rsidP="00D15322">
            <w:pPr>
              <w:pStyle w:val="Default"/>
              <w:jc w:val="center"/>
              <w:rPr>
                <w:color w:val="auto"/>
              </w:rPr>
            </w:pPr>
            <w:r>
              <w:t>PROCESSI</w:t>
            </w:r>
          </w:p>
        </w:tc>
        <w:tc>
          <w:tcPr>
            <w:tcW w:w="2860" w:type="dxa"/>
            <w:vAlign w:val="center"/>
          </w:tcPr>
          <w:p w:rsidR="008315C2" w:rsidRDefault="008315C2" w:rsidP="00D15322">
            <w:pPr>
              <w:pStyle w:val="Default"/>
              <w:jc w:val="center"/>
              <w:rPr>
                <w:color w:val="auto"/>
              </w:rPr>
            </w:pPr>
            <w:r>
              <w:t>SOGGETTI COINVOLTI</w:t>
            </w:r>
          </w:p>
        </w:tc>
        <w:tc>
          <w:tcPr>
            <w:tcW w:w="4767" w:type="dxa"/>
            <w:vAlign w:val="center"/>
          </w:tcPr>
          <w:p w:rsidR="008315C2" w:rsidRDefault="008315C2" w:rsidP="00D15322">
            <w:pPr>
              <w:pStyle w:val="Default"/>
              <w:jc w:val="center"/>
              <w:rPr>
                <w:color w:val="auto"/>
              </w:rPr>
            </w:pPr>
            <w:r>
              <w:t xml:space="preserve">SITUAZIONE </w:t>
            </w:r>
            <w:proofErr w:type="spellStart"/>
            <w:r>
              <w:t>DI</w:t>
            </w:r>
            <w:proofErr w:type="spellEnd"/>
            <w:r>
              <w:t xml:space="preserve"> RISCHIO</w:t>
            </w:r>
          </w:p>
        </w:tc>
        <w:tc>
          <w:tcPr>
            <w:tcW w:w="1798" w:type="dxa"/>
            <w:vAlign w:val="center"/>
          </w:tcPr>
          <w:p w:rsidR="008315C2" w:rsidRDefault="00F42E22" w:rsidP="00D15322">
            <w:pPr>
              <w:pStyle w:val="Default"/>
              <w:jc w:val="center"/>
              <w:rPr>
                <w:color w:val="auto"/>
              </w:rPr>
            </w:pPr>
            <w:r>
              <w:rPr>
                <w:color w:val="auto"/>
              </w:rPr>
              <w:t>MISURA</w:t>
            </w:r>
          </w:p>
        </w:tc>
      </w:tr>
      <w:tr w:rsidR="008315C2" w:rsidTr="00D15322">
        <w:trPr>
          <w:trHeight w:val="1073"/>
        </w:trPr>
        <w:tc>
          <w:tcPr>
            <w:tcW w:w="1843" w:type="dxa"/>
            <w:vMerge w:val="restart"/>
            <w:vAlign w:val="center"/>
          </w:tcPr>
          <w:p w:rsidR="008315C2" w:rsidRPr="008315C2" w:rsidRDefault="008315C2" w:rsidP="00D15322">
            <w:pPr>
              <w:pStyle w:val="Default"/>
              <w:jc w:val="center"/>
              <w:rPr>
                <w:color w:val="auto"/>
                <w:sz w:val="20"/>
                <w:szCs w:val="20"/>
              </w:rPr>
            </w:pPr>
            <w:r w:rsidRPr="008315C2">
              <w:rPr>
                <w:sz w:val="20"/>
                <w:szCs w:val="20"/>
              </w:rPr>
              <w:t>Programmazione</w:t>
            </w:r>
          </w:p>
        </w:tc>
        <w:tc>
          <w:tcPr>
            <w:tcW w:w="4073" w:type="dxa"/>
            <w:vAlign w:val="center"/>
          </w:tcPr>
          <w:p w:rsidR="008315C2" w:rsidRPr="008315C2" w:rsidRDefault="008315C2" w:rsidP="00D15322">
            <w:pPr>
              <w:pStyle w:val="Default"/>
              <w:jc w:val="center"/>
              <w:rPr>
                <w:color w:val="auto"/>
                <w:sz w:val="20"/>
                <w:szCs w:val="20"/>
              </w:rPr>
            </w:pPr>
            <w:r w:rsidRPr="008315C2">
              <w:rPr>
                <w:sz w:val="20"/>
                <w:szCs w:val="20"/>
              </w:rPr>
              <w:t>Analisi e definizione dei bisogni</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RUP</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 xml:space="preserve">Definizione dei fabbisogni in funzione dell’interesse personale a favorire un determinato </w:t>
            </w:r>
            <w:proofErr w:type="spellStart"/>
            <w:r w:rsidRPr="008315C2">
              <w:rPr>
                <w:sz w:val="20"/>
                <w:szCs w:val="20"/>
              </w:rPr>
              <w:t>o.e.</w:t>
            </w:r>
            <w:proofErr w:type="spellEnd"/>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Applicazione misura n.2 PTPCT 2019/2021</w:t>
            </w:r>
          </w:p>
        </w:tc>
      </w:tr>
      <w:tr w:rsidR="008315C2" w:rsidTr="00D15322">
        <w:trPr>
          <w:trHeight w:val="194"/>
        </w:trPr>
        <w:tc>
          <w:tcPr>
            <w:tcW w:w="1843" w:type="dxa"/>
            <w:vMerge/>
            <w:vAlign w:val="center"/>
          </w:tcPr>
          <w:p w:rsidR="008315C2" w:rsidRPr="008315C2" w:rsidRDefault="008315C2" w:rsidP="00D15322">
            <w:pPr>
              <w:pStyle w:val="Default"/>
              <w:jc w:val="center"/>
              <w:rPr>
                <w:color w:val="auto"/>
                <w:sz w:val="20"/>
                <w:szCs w:val="20"/>
              </w:rPr>
            </w:pPr>
          </w:p>
        </w:tc>
        <w:tc>
          <w:tcPr>
            <w:tcW w:w="4073" w:type="dxa"/>
            <w:vAlign w:val="center"/>
          </w:tcPr>
          <w:p w:rsidR="008315C2" w:rsidRPr="008315C2" w:rsidRDefault="008315C2" w:rsidP="00D15322">
            <w:pPr>
              <w:pStyle w:val="Default"/>
              <w:jc w:val="center"/>
              <w:rPr>
                <w:color w:val="auto"/>
                <w:sz w:val="20"/>
                <w:szCs w:val="20"/>
              </w:rPr>
            </w:pPr>
            <w:r w:rsidRPr="008315C2">
              <w:rPr>
                <w:sz w:val="20"/>
                <w:szCs w:val="20"/>
              </w:rPr>
              <w:t>Redazione e aggiornamento strumenti programmazione ex articolo 21 Codice</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RUP/organo della SA deputato all’approvazione</w:t>
            </w:r>
          </w:p>
        </w:tc>
        <w:tc>
          <w:tcPr>
            <w:tcW w:w="4767" w:type="dxa"/>
            <w:vAlign w:val="center"/>
          </w:tcPr>
          <w:p w:rsidR="008315C2" w:rsidRPr="008315C2" w:rsidRDefault="008315C2" w:rsidP="00D15322">
            <w:pPr>
              <w:pStyle w:val="Default"/>
              <w:jc w:val="center"/>
              <w:rPr>
                <w:sz w:val="20"/>
                <w:szCs w:val="20"/>
              </w:rPr>
            </w:pPr>
            <w:r w:rsidRPr="008315C2">
              <w:rPr>
                <w:sz w:val="20"/>
                <w:szCs w:val="20"/>
              </w:rPr>
              <w:t>Individuazione di lavori complessi e di interventi realizzabili con concessione o PPP in funzione dell’</w:t>
            </w:r>
            <w:proofErr w:type="spellStart"/>
            <w:r w:rsidRPr="008315C2">
              <w:rPr>
                <w:sz w:val="20"/>
                <w:szCs w:val="20"/>
              </w:rPr>
              <w:t>o.e.</w:t>
            </w:r>
            <w:proofErr w:type="spellEnd"/>
            <w:r w:rsidRPr="008315C2">
              <w:rPr>
                <w:sz w:val="20"/>
                <w:szCs w:val="20"/>
              </w:rPr>
              <w:t xml:space="preserve"> che si intende favorire.</w:t>
            </w:r>
          </w:p>
          <w:p w:rsidR="008315C2" w:rsidRPr="008315C2" w:rsidRDefault="008315C2" w:rsidP="00D15322">
            <w:pPr>
              <w:pStyle w:val="Default"/>
              <w:jc w:val="center"/>
              <w:rPr>
                <w:sz w:val="20"/>
                <w:szCs w:val="20"/>
              </w:rPr>
            </w:pPr>
            <w:r w:rsidRPr="008315C2">
              <w:rPr>
                <w:sz w:val="20"/>
                <w:szCs w:val="20"/>
              </w:rPr>
              <w:t>Intempestiva individuazione di bisogni che può determinare la necessità di ricorrere a procedure non ordinarie motivate dall’urgenza.</w:t>
            </w:r>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Applicazione misura n.2 PTPCT 2019/2021</w:t>
            </w:r>
          </w:p>
        </w:tc>
      </w:tr>
      <w:tr w:rsidR="008315C2" w:rsidTr="00D15322">
        <w:trPr>
          <w:trHeight w:val="729"/>
        </w:trPr>
        <w:tc>
          <w:tcPr>
            <w:tcW w:w="1843" w:type="dxa"/>
            <w:vMerge w:val="restart"/>
            <w:vAlign w:val="center"/>
          </w:tcPr>
          <w:p w:rsidR="008315C2" w:rsidRPr="008315C2" w:rsidRDefault="008315C2" w:rsidP="00D15322">
            <w:pPr>
              <w:pStyle w:val="Default"/>
              <w:jc w:val="center"/>
              <w:rPr>
                <w:color w:val="auto"/>
                <w:sz w:val="20"/>
                <w:szCs w:val="20"/>
              </w:rPr>
            </w:pPr>
            <w:r w:rsidRPr="008315C2">
              <w:rPr>
                <w:sz w:val="20"/>
                <w:szCs w:val="20"/>
              </w:rPr>
              <w:t>Progettazione della gara</w:t>
            </w:r>
          </w:p>
        </w:tc>
        <w:tc>
          <w:tcPr>
            <w:tcW w:w="4073" w:type="dxa"/>
            <w:vAlign w:val="center"/>
          </w:tcPr>
          <w:p w:rsidR="008315C2" w:rsidRPr="008315C2" w:rsidRDefault="008315C2" w:rsidP="00D15322">
            <w:pPr>
              <w:pStyle w:val="Default"/>
              <w:jc w:val="center"/>
              <w:rPr>
                <w:color w:val="auto"/>
                <w:sz w:val="20"/>
                <w:szCs w:val="20"/>
              </w:rPr>
            </w:pPr>
            <w:r w:rsidRPr="008315C2">
              <w:rPr>
                <w:sz w:val="20"/>
                <w:szCs w:val="20"/>
              </w:rPr>
              <w:t>Progettazione prestazione contrattuale</w:t>
            </w:r>
          </w:p>
        </w:tc>
        <w:tc>
          <w:tcPr>
            <w:tcW w:w="2860" w:type="dxa"/>
            <w:vAlign w:val="center"/>
          </w:tcPr>
          <w:p w:rsidR="008315C2" w:rsidRPr="008315C2" w:rsidRDefault="008315C2" w:rsidP="00D15322">
            <w:pPr>
              <w:pStyle w:val="Default"/>
              <w:jc w:val="center"/>
              <w:rPr>
                <w:sz w:val="20"/>
                <w:szCs w:val="20"/>
              </w:rPr>
            </w:pPr>
            <w:r w:rsidRPr="008315C2">
              <w:rPr>
                <w:sz w:val="20"/>
                <w:szCs w:val="20"/>
              </w:rPr>
              <w:t>Progettista/RUP</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 xml:space="preserve">Definizione delle caratteristiche della prestazione in funzione di un determinato </w:t>
            </w:r>
            <w:proofErr w:type="spellStart"/>
            <w:r w:rsidRPr="008315C2">
              <w:rPr>
                <w:sz w:val="20"/>
                <w:szCs w:val="20"/>
              </w:rPr>
              <w:t>o.e.</w:t>
            </w:r>
            <w:proofErr w:type="spellEnd"/>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Controllo Dirigente</w:t>
            </w:r>
          </w:p>
        </w:tc>
      </w:tr>
      <w:tr w:rsidR="008315C2" w:rsidTr="00D15322">
        <w:trPr>
          <w:trHeight w:val="194"/>
        </w:trPr>
        <w:tc>
          <w:tcPr>
            <w:tcW w:w="1843" w:type="dxa"/>
            <w:vMerge/>
            <w:vAlign w:val="center"/>
          </w:tcPr>
          <w:p w:rsidR="008315C2" w:rsidRPr="008315C2" w:rsidRDefault="008315C2" w:rsidP="00D15322">
            <w:pPr>
              <w:pStyle w:val="Default"/>
              <w:jc w:val="center"/>
              <w:rPr>
                <w:color w:val="auto"/>
                <w:sz w:val="20"/>
                <w:szCs w:val="20"/>
              </w:rPr>
            </w:pPr>
          </w:p>
        </w:tc>
        <w:tc>
          <w:tcPr>
            <w:tcW w:w="4073" w:type="dxa"/>
            <w:vAlign w:val="center"/>
          </w:tcPr>
          <w:p w:rsidR="008315C2" w:rsidRPr="008315C2" w:rsidRDefault="008315C2" w:rsidP="00D15322">
            <w:pPr>
              <w:pStyle w:val="Default"/>
              <w:jc w:val="center"/>
              <w:rPr>
                <w:sz w:val="20"/>
                <w:szCs w:val="20"/>
              </w:rPr>
            </w:pPr>
            <w:r w:rsidRPr="008315C2">
              <w:rPr>
                <w:sz w:val="20"/>
                <w:szCs w:val="20"/>
              </w:rPr>
              <w:t>Verifica e validazione del progetto</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Verificatore/RUP</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Verifica e validazione del progetto pur in assenza dei requisiti richiesti.</w:t>
            </w:r>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Controllo Dirigente</w:t>
            </w:r>
          </w:p>
        </w:tc>
      </w:tr>
      <w:tr w:rsidR="008315C2" w:rsidTr="00D15322">
        <w:trPr>
          <w:trHeight w:val="194"/>
        </w:trPr>
        <w:tc>
          <w:tcPr>
            <w:tcW w:w="1843" w:type="dxa"/>
            <w:vMerge/>
            <w:vAlign w:val="center"/>
          </w:tcPr>
          <w:p w:rsidR="008315C2" w:rsidRPr="008315C2" w:rsidRDefault="008315C2" w:rsidP="00D15322">
            <w:pPr>
              <w:pStyle w:val="Default"/>
              <w:jc w:val="center"/>
              <w:rPr>
                <w:color w:val="auto"/>
                <w:sz w:val="20"/>
                <w:szCs w:val="20"/>
              </w:rPr>
            </w:pPr>
          </w:p>
        </w:tc>
        <w:tc>
          <w:tcPr>
            <w:tcW w:w="4073" w:type="dxa"/>
            <w:vAlign w:val="center"/>
          </w:tcPr>
          <w:p w:rsidR="008315C2" w:rsidRPr="008315C2" w:rsidRDefault="008315C2" w:rsidP="00D15322">
            <w:pPr>
              <w:pStyle w:val="Default"/>
              <w:jc w:val="center"/>
              <w:rPr>
                <w:sz w:val="20"/>
                <w:szCs w:val="20"/>
              </w:rPr>
            </w:pPr>
            <w:r w:rsidRPr="008315C2">
              <w:rPr>
                <w:sz w:val="20"/>
                <w:szCs w:val="20"/>
              </w:rPr>
              <w:t>Nomina coordinatore in materia di sicurezza e salute durante la progettazione</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RUP/organo della SA deputato all’approvazione</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 xml:space="preserve">Nomina di un soggetto compiacente che rediga un PSC e un fascicolo dell’opera i cui contenuti siano a vantaggio di un determinato </w:t>
            </w:r>
            <w:proofErr w:type="spellStart"/>
            <w:r w:rsidRPr="008315C2">
              <w:rPr>
                <w:sz w:val="20"/>
                <w:szCs w:val="20"/>
              </w:rPr>
              <w:t>o.e.</w:t>
            </w:r>
            <w:proofErr w:type="spellEnd"/>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 xml:space="preserve">Utilizzo Albo dei Professionisti Tecnici </w:t>
            </w:r>
          </w:p>
        </w:tc>
      </w:tr>
      <w:tr w:rsidR="008315C2" w:rsidTr="00D15322">
        <w:trPr>
          <w:trHeight w:val="194"/>
        </w:trPr>
        <w:tc>
          <w:tcPr>
            <w:tcW w:w="1843" w:type="dxa"/>
            <w:vMerge/>
            <w:vAlign w:val="center"/>
          </w:tcPr>
          <w:p w:rsidR="008315C2" w:rsidRPr="008315C2" w:rsidRDefault="008315C2" w:rsidP="00D15322">
            <w:pPr>
              <w:pStyle w:val="Default"/>
              <w:jc w:val="center"/>
              <w:rPr>
                <w:color w:val="auto"/>
                <w:sz w:val="20"/>
                <w:szCs w:val="20"/>
              </w:rPr>
            </w:pPr>
          </w:p>
        </w:tc>
        <w:tc>
          <w:tcPr>
            <w:tcW w:w="4073" w:type="dxa"/>
            <w:vAlign w:val="center"/>
          </w:tcPr>
          <w:p w:rsidR="008315C2" w:rsidRPr="008315C2" w:rsidRDefault="008315C2" w:rsidP="00D15322">
            <w:pPr>
              <w:pStyle w:val="Default"/>
              <w:jc w:val="center"/>
              <w:rPr>
                <w:color w:val="auto"/>
                <w:sz w:val="20"/>
                <w:szCs w:val="20"/>
              </w:rPr>
            </w:pPr>
            <w:r w:rsidRPr="008315C2">
              <w:rPr>
                <w:sz w:val="20"/>
                <w:szCs w:val="20"/>
              </w:rPr>
              <w:t>Consultazioni preliminari di mercato</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RUP</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 xml:space="preserve">Partecipazione alle consultazioni di un determinato </w:t>
            </w:r>
            <w:proofErr w:type="spellStart"/>
            <w:r w:rsidRPr="008315C2">
              <w:rPr>
                <w:sz w:val="20"/>
                <w:szCs w:val="20"/>
              </w:rPr>
              <w:t>o.e.</w:t>
            </w:r>
            <w:proofErr w:type="spellEnd"/>
            <w:r w:rsidRPr="008315C2">
              <w:rPr>
                <w:sz w:val="20"/>
                <w:szCs w:val="20"/>
              </w:rPr>
              <w:t xml:space="preserve"> e anticipazione allo stesso di informazioni sulla gara</w:t>
            </w:r>
          </w:p>
        </w:tc>
        <w:tc>
          <w:tcPr>
            <w:tcW w:w="1798" w:type="dxa"/>
            <w:vAlign w:val="center"/>
          </w:tcPr>
          <w:p w:rsidR="008315C2" w:rsidRPr="008315C2" w:rsidRDefault="00D256B0" w:rsidP="00D15322">
            <w:pPr>
              <w:pStyle w:val="Default"/>
              <w:jc w:val="center"/>
              <w:rPr>
                <w:color w:val="auto"/>
                <w:sz w:val="20"/>
                <w:szCs w:val="20"/>
              </w:rPr>
            </w:pPr>
            <w:r w:rsidRPr="006935C2">
              <w:rPr>
                <w:rFonts w:cs="Times New Roman"/>
                <w:sz w:val="20"/>
                <w:szCs w:val="20"/>
              </w:rPr>
              <w:t xml:space="preserve">Utilizzo della </w:t>
            </w:r>
            <w:r w:rsidRPr="006935C2">
              <w:rPr>
                <w:rFonts w:cs="Times New Roman"/>
                <w:sz w:val="20"/>
                <w:szCs w:val="20"/>
                <w:shd w:val="clear" w:color="auto" w:fill="FFFFFF"/>
              </w:rPr>
              <w:t xml:space="preserve">la piattaforma telematica di </w:t>
            </w:r>
            <w:proofErr w:type="spellStart"/>
            <w:r w:rsidRPr="006935C2">
              <w:rPr>
                <w:rFonts w:cs="Times New Roman"/>
                <w:sz w:val="20"/>
                <w:szCs w:val="20"/>
                <w:shd w:val="clear" w:color="auto" w:fill="FFFFFF"/>
              </w:rPr>
              <w:t>e-procurement</w:t>
            </w:r>
            <w:proofErr w:type="spellEnd"/>
            <w:r w:rsidRPr="006935C2">
              <w:rPr>
                <w:rFonts w:cs="Times New Roman"/>
                <w:sz w:val="20"/>
                <w:szCs w:val="20"/>
                <w:shd w:val="clear" w:color="auto" w:fill="FFFFFF"/>
              </w:rPr>
              <w:t xml:space="preserve"> e gestione albo fornitori </w:t>
            </w:r>
          </w:p>
        </w:tc>
      </w:tr>
      <w:tr w:rsidR="008315C2" w:rsidTr="00D15322">
        <w:trPr>
          <w:trHeight w:val="194"/>
        </w:trPr>
        <w:tc>
          <w:tcPr>
            <w:tcW w:w="1843" w:type="dxa"/>
            <w:vMerge/>
            <w:vAlign w:val="center"/>
          </w:tcPr>
          <w:p w:rsidR="008315C2" w:rsidRPr="008315C2" w:rsidRDefault="008315C2" w:rsidP="00D15322">
            <w:pPr>
              <w:pStyle w:val="Default"/>
              <w:jc w:val="center"/>
              <w:rPr>
                <w:color w:val="auto"/>
                <w:sz w:val="20"/>
                <w:szCs w:val="20"/>
              </w:rPr>
            </w:pPr>
          </w:p>
        </w:tc>
        <w:tc>
          <w:tcPr>
            <w:tcW w:w="4073" w:type="dxa"/>
            <w:vAlign w:val="center"/>
          </w:tcPr>
          <w:p w:rsidR="008315C2" w:rsidRPr="008315C2" w:rsidRDefault="008315C2" w:rsidP="00D15322">
            <w:pPr>
              <w:pStyle w:val="Default"/>
              <w:jc w:val="center"/>
              <w:rPr>
                <w:color w:val="auto"/>
                <w:sz w:val="20"/>
                <w:szCs w:val="20"/>
              </w:rPr>
            </w:pPr>
            <w:r w:rsidRPr="008315C2">
              <w:rPr>
                <w:sz w:val="20"/>
                <w:szCs w:val="20"/>
              </w:rPr>
              <w:t>Nomina RUP</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Dirigente o/o altro soggetto responsabile dell’unità organizzativa</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 xml:space="preserve">Nomina di un soggetto compiacente che possa favorire un determinato </w:t>
            </w:r>
            <w:proofErr w:type="spellStart"/>
            <w:r w:rsidRPr="008315C2">
              <w:rPr>
                <w:sz w:val="20"/>
                <w:szCs w:val="20"/>
              </w:rPr>
              <w:t>o.e.</w:t>
            </w:r>
            <w:proofErr w:type="spellEnd"/>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Applicazione misura n.5 PTPCT 2019/2021</w:t>
            </w:r>
          </w:p>
        </w:tc>
      </w:tr>
    </w:tbl>
    <w:p w:rsidR="00AD13F3" w:rsidRPr="00C87392" w:rsidRDefault="00D15322" w:rsidP="00D15322">
      <w:pPr>
        <w:rPr>
          <w:rFonts w:ascii="Garamond" w:hAnsi="Garamond"/>
        </w:rPr>
      </w:pPr>
      <w:r w:rsidRPr="00C87392">
        <w:rPr>
          <w:rFonts w:ascii="Garamond" w:hAnsi="Garamond"/>
          <w:sz w:val="28"/>
          <w:szCs w:val="28"/>
        </w:rPr>
        <w:t>Misure di prevenzione della corruzione afferenti l’Area di rischio dei contratti pubblici</w:t>
      </w:r>
      <w:r w:rsidRPr="00C87392">
        <w:rPr>
          <w:rFonts w:ascii="Garamond" w:hAnsi="Garamond"/>
          <w:sz w:val="32"/>
          <w:szCs w:val="32"/>
        </w:rPr>
        <w:t xml:space="preserve">                      </w:t>
      </w:r>
      <w:r w:rsidRPr="00C87392">
        <w:rPr>
          <w:rFonts w:ascii="Garamond" w:hAnsi="Garamond"/>
        </w:rPr>
        <w:t>Allegato 2 al PTPCT 2020/2022</w:t>
      </w:r>
    </w:p>
    <w:p w:rsidR="00D15322" w:rsidRPr="00C87392" w:rsidRDefault="00D15322" w:rsidP="00C87392">
      <w:pPr>
        <w:ind w:left="-567" w:right="-455"/>
        <w:jc w:val="both"/>
        <w:rPr>
          <w:rFonts w:ascii="Garamond" w:hAnsi="Garamond"/>
          <w:sz w:val="26"/>
          <w:szCs w:val="26"/>
        </w:rPr>
      </w:pPr>
      <w:r w:rsidRPr="00C87392">
        <w:rPr>
          <w:rFonts w:ascii="Garamond" w:hAnsi="Garamond"/>
          <w:sz w:val="26"/>
          <w:szCs w:val="26"/>
        </w:rPr>
        <w:t>Le funzioni fondamentali prioritarie della Provincia dell’Aquila consistono nella co</w:t>
      </w:r>
      <w:r w:rsidRPr="00C87392">
        <w:rPr>
          <w:rFonts w:ascii="Garamond" w:hAnsi="Garamond"/>
          <w:color w:val="000000"/>
          <w:sz w:val="26"/>
          <w:szCs w:val="26"/>
          <w:shd w:val="clear" w:color="auto" w:fill="F9F8F4"/>
        </w:rPr>
        <w:t>struzione e gestione delle strade provinciali con regolazione della circolazione stradale ad esse inerente e nella gestione dell’</w:t>
      </w:r>
      <w:r w:rsidRPr="00C87392">
        <w:rPr>
          <w:rFonts w:ascii="Garamond" w:hAnsi="Garamond"/>
          <w:sz w:val="26"/>
          <w:szCs w:val="26"/>
        </w:rPr>
        <w:t>edilizia scolastica. Pertanto, anche sulla base dell’analisi del contesto esterno, il PTPCT 2020/2022, sulla scia degli strumenti di prevenzione precedenti, dedica un</w:t>
      </w:r>
      <w:r w:rsidR="00C87392">
        <w:rPr>
          <w:rFonts w:ascii="Garamond" w:hAnsi="Garamond"/>
          <w:sz w:val="26"/>
          <w:szCs w:val="26"/>
        </w:rPr>
        <w:t>’</w:t>
      </w:r>
      <w:r w:rsidRPr="00C87392">
        <w:rPr>
          <w:rFonts w:ascii="Garamond" w:hAnsi="Garamond"/>
          <w:sz w:val="26"/>
          <w:szCs w:val="26"/>
        </w:rPr>
        <w:t>apposita sezione alla gestione dei rischi afferenti l’area dei contratti pubblici.</w:t>
      </w:r>
    </w:p>
    <w:p w:rsidR="00D15322" w:rsidRDefault="00D15322" w:rsidP="00D15322">
      <w:r>
        <w:t xml:space="preserve">  </w:t>
      </w:r>
    </w:p>
    <w:tbl>
      <w:tblPr>
        <w:tblStyle w:val="Grigliatabella"/>
        <w:tblW w:w="0" w:type="auto"/>
        <w:tblLook w:val="04A0"/>
      </w:tblPr>
      <w:tblGrid>
        <w:gridCol w:w="1668"/>
        <w:gridCol w:w="3744"/>
        <w:gridCol w:w="3345"/>
        <w:gridCol w:w="2833"/>
        <w:gridCol w:w="992"/>
        <w:gridCol w:w="2376"/>
      </w:tblGrid>
      <w:tr w:rsidR="008315C2" w:rsidTr="00EC7621">
        <w:tc>
          <w:tcPr>
            <w:tcW w:w="1668" w:type="dxa"/>
            <w:vMerge w:val="restart"/>
          </w:tcPr>
          <w:p w:rsidR="008315C2" w:rsidRDefault="008315C2" w:rsidP="00074D6E">
            <w:pPr>
              <w:jc w:val="center"/>
            </w:pPr>
          </w:p>
        </w:tc>
        <w:tc>
          <w:tcPr>
            <w:tcW w:w="3744"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528"/>
            </w:tblGrid>
            <w:tr w:rsidR="008315C2" w:rsidRPr="008315C2">
              <w:trPr>
                <w:trHeight w:val="536"/>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Scelta tipologia contrattuale (appalto/concessione)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0" w:type="auto"/>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129"/>
            </w:tblGrid>
            <w:tr w:rsidR="008315C2" w:rsidRPr="008315C2">
              <w:trPr>
                <w:trHeight w:val="536"/>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RUP/organo della SA deputato all’approvazione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2833"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617"/>
            </w:tblGrid>
            <w:tr w:rsidR="008315C2" w:rsidRPr="008315C2">
              <w:trPr>
                <w:trHeight w:val="867"/>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 xml:space="preserve">Scelta della tipologia contrattuale per favorire un determinato </w:t>
                  </w:r>
                  <w:proofErr w:type="spellStart"/>
                  <w:r w:rsidRPr="008315C2">
                    <w:rPr>
                      <w:rFonts w:ascii="Garamond" w:eastAsiaTheme="minorHAnsi" w:hAnsi="Garamond" w:cs="Garamond"/>
                      <w:color w:val="000000"/>
                      <w:sz w:val="20"/>
                      <w:szCs w:val="20"/>
                      <w:lang w:eastAsia="en-US"/>
                    </w:rPr>
                    <w:t>o.e.</w:t>
                  </w:r>
                  <w:proofErr w:type="spellEnd"/>
                  <w:r w:rsidRPr="008315C2">
                    <w:rPr>
                      <w:rFonts w:ascii="Garamond" w:eastAsiaTheme="minorHAnsi" w:hAnsi="Garamond" w:cs="Garamond"/>
                      <w:color w:val="000000"/>
                      <w:sz w:val="20"/>
                      <w:szCs w:val="20"/>
                      <w:lang w:eastAsia="en-US"/>
                    </w:rPr>
                    <w:t xml:space="preserve"> in funzione delle sue capacità/esperienze pregresse.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3368" w:type="dxa"/>
            <w:gridSpan w:val="2"/>
          </w:tcPr>
          <w:p w:rsidR="00EC7621" w:rsidRPr="00EC7621" w:rsidRDefault="00EC7621" w:rsidP="00EC7621">
            <w:pPr>
              <w:pStyle w:val="Paragrafoelenco"/>
              <w:numPr>
                <w:ilvl w:val="0"/>
                <w:numId w:val="4"/>
              </w:numPr>
              <w:spacing w:after="0" w:line="240" w:lineRule="auto"/>
              <w:ind w:left="34" w:right="-142" w:firstLine="0"/>
              <w:rPr>
                <w:rFonts w:ascii="Garamond" w:hAnsi="Garamond"/>
                <w:sz w:val="20"/>
                <w:szCs w:val="20"/>
              </w:rPr>
            </w:pPr>
            <w:r w:rsidRPr="00EC7621">
              <w:rPr>
                <w:rFonts w:ascii="Garamond" w:hAnsi="Garamond"/>
                <w:sz w:val="20"/>
                <w:szCs w:val="20"/>
              </w:rPr>
              <w:t>Obbligo di motivazione nella determina a contrarre in ordine sia alla scelta della procedura sia alla scelta del sistema di affidamento adottato ovvero della tipologia contrattuale (ad esempio appalto vs. concessione)</w:t>
            </w:r>
          </w:p>
          <w:p w:rsidR="00EC7621" w:rsidRDefault="00EC7621" w:rsidP="00EC7621">
            <w:pPr>
              <w:ind w:left="34" w:right="-142"/>
              <w:rPr>
                <w:rFonts w:ascii="Garamond" w:hAnsi="Garamond"/>
                <w:sz w:val="20"/>
                <w:szCs w:val="20"/>
              </w:rPr>
            </w:pPr>
            <w:r w:rsidRPr="00EC7621">
              <w:rPr>
                <w:rFonts w:ascii="Garamond" w:hAnsi="Garamond"/>
                <w:sz w:val="20"/>
                <w:szCs w:val="20"/>
              </w:rPr>
              <w:t>nella scelta della tipologia contrattuale,</w:t>
            </w:r>
          </w:p>
          <w:p w:rsidR="008315C2" w:rsidRPr="00EC7621" w:rsidRDefault="00EC7621" w:rsidP="00EC7621">
            <w:pPr>
              <w:pStyle w:val="Paragrafoelenco"/>
              <w:numPr>
                <w:ilvl w:val="0"/>
                <w:numId w:val="3"/>
              </w:numPr>
              <w:spacing w:after="0" w:line="240" w:lineRule="auto"/>
              <w:ind w:left="34" w:right="-142" w:firstLine="0"/>
              <w:rPr>
                <w:rFonts w:ascii="Garamond" w:hAnsi="Garamond"/>
                <w:sz w:val="20"/>
                <w:szCs w:val="20"/>
              </w:rPr>
            </w:pPr>
            <w:r>
              <w:rPr>
                <w:rFonts w:ascii="Garamond" w:hAnsi="Garamond"/>
                <w:sz w:val="20"/>
                <w:szCs w:val="20"/>
              </w:rPr>
              <w:t>R</w:t>
            </w:r>
            <w:r w:rsidRPr="00EC7621">
              <w:rPr>
                <w:rFonts w:ascii="Garamond" w:hAnsi="Garamond"/>
                <w:sz w:val="20"/>
                <w:szCs w:val="20"/>
              </w:rPr>
              <w:t>icorso quasi esclusivo a contratti di appalto, con l’obbligo  di approvazione preventiva di apposito piano economico finanziario nel caso di ricorso agli affidamenti in concessione</w:t>
            </w:r>
          </w:p>
        </w:tc>
      </w:tr>
      <w:tr w:rsidR="008315C2" w:rsidTr="00EC7621">
        <w:trPr>
          <w:trHeight w:val="2138"/>
        </w:trPr>
        <w:tc>
          <w:tcPr>
            <w:tcW w:w="1668" w:type="dxa"/>
            <w:vMerge/>
          </w:tcPr>
          <w:p w:rsidR="008315C2" w:rsidRDefault="008315C2" w:rsidP="00074D6E">
            <w:pPr>
              <w:jc w:val="center"/>
            </w:pPr>
          </w:p>
        </w:tc>
        <w:tc>
          <w:tcPr>
            <w:tcW w:w="3744"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908"/>
            </w:tblGrid>
            <w:tr w:rsidR="008315C2" w:rsidRPr="008315C2">
              <w:trPr>
                <w:trHeight w:val="22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Determinazione importo contratto</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0" w:type="auto"/>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129"/>
            </w:tblGrid>
            <w:tr w:rsidR="008315C2" w:rsidRPr="008315C2">
              <w:trPr>
                <w:trHeight w:val="55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Progettista/RUP/organo della SA deputato all’approvazione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2833" w:type="dxa"/>
          </w:tcPr>
          <w:p w:rsidR="008315C2" w:rsidRPr="00EC7621"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617"/>
            </w:tblGrid>
            <w:tr w:rsidR="008315C2" w:rsidRPr="00EC7621">
              <w:trPr>
                <w:trHeight w:val="1482"/>
              </w:trPr>
              <w:tc>
                <w:tcPr>
                  <w:tcW w:w="0" w:type="auto"/>
                </w:tcPr>
                <w:p w:rsidR="008315C2" w:rsidRPr="00EC7621"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EC7621">
                    <w:rPr>
                      <w:rFonts w:ascii="Garamond" w:eastAsiaTheme="minorHAnsi" w:hAnsi="Garamond" w:cs="Garamond"/>
                      <w:color w:val="000000"/>
                      <w:sz w:val="20"/>
                      <w:szCs w:val="20"/>
                      <w:lang w:eastAsia="en-US"/>
                    </w:rPr>
                    <w:t xml:space="preserve">Determinazione dell’importo della gara in modo da favorire un determinato </w:t>
                  </w:r>
                  <w:proofErr w:type="spellStart"/>
                  <w:r w:rsidRPr="00EC7621">
                    <w:rPr>
                      <w:rFonts w:ascii="Garamond" w:eastAsiaTheme="minorHAnsi" w:hAnsi="Garamond" w:cs="Garamond"/>
                      <w:color w:val="000000"/>
                      <w:sz w:val="20"/>
                      <w:szCs w:val="20"/>
                      <w:lang w:eastAsia="en-US"/>
                    </w:rPr>
                    <w:t>o.e.</w:t>
                  </w:r>
                  <w:proofErr w:type="spellEnd"/>
                  <w:r w:rsidRPr="00EC7621">
                    <w:rPr>
                      <w:rFonts w:ascii="Garamond" w:eastAsiaTheme="minorHAnsi" w:hAnsi="Garamond" w:cs="Garamond"/>
                      <w:color w:val="000000"/>
                      <w:sz w:val="20"/>
                      <w:szCs w:val="20"/>
                      <w:lang w:eastAsia="en-US"/>
                    </w:rPr>
                    <w:t xml:space="preserve"> sia in termini di procedura di gara da adottare (es. affidamento diretto, procedura negoziata) che in termini di requisiti di partecipazione</w:t>
                  </w:r>
                </w:p>
              </w:tc>
            </w:tr>
          </w:tbl>
          <w:p w:rsidR="008315C2" w:rsidRPr="00EC7621" w:rsidRDefault="008315C2" w:rsidP="00074D6E">
            <w:pPr>
              <w:autoSpaceDE w:val="0"/>
              <w:autoSpaceDN w:val="0"/>
              <w:adjustRightInd w:val="0"/>
              <w:jc w:val="center"/>
              <w:rPr>
                <w:rFonts w:ascii="Garamond" w:eastAsiaTheme="minorHAnsi" w:hAnsi="Garamond"/>
                <w:sz w:val="20"/>
                <w:szCs w:val="20"/>
                <w:lang w:eastAsia="en-US"/>
              </w:rPr>
            </w:pPr>
          </w:p>
          <w:p w:rsidR="008315C2" w:rsidRPr="00EC7621" w:rsidRDefault="008315C2" w:rsidP="00074D6E">
            <w:pPr>
              <w:jc w:val="center"/>
              <w:rPr>
                <w:rFonts w:ascii="Garamond" w:hAnsi="Garamond"/>
                <w:sz w:val="20"/>
                <w:szCs w:val="20"/>
              </w:rPr>
            </w:pPr>
          </w:p>
        </w:tc>
        <w:tc>
          <w:tcPr>
            <w:tcW w:w="3368" w:type="dxa"/>
            <w:gridSpan w:val="2"/>
          </w:tcPr>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t xml:space="preserve">Il valore del contratto da affidare è individuato sulla base dei metodi di calcolo del valore stimato dei contratti pubblici definiti dalla normativa, tenendo conto di eventuali opzioni che l’Amministrazione intenda riservarsi e che incrementano il valore stimato del contratto da porre a base di gara. </w:t>
            </w:r>
          </w:p>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t>Importo del lavori servizi o forniture da determinarsi a valle di un’adeguata progettazione funzionale degli interventi;</w:t>
            </w:r>
          </w:p>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t>Evitare la reiterazione di piccoli affidamenti aventi il medesimo oggetto (Frazionamento degli affidamenti)</w:t>
            </w:r>
            <w:bookmarkStart w:id="0" w:name="_GoBack"/>
            <w:bookmarkEnd w:id="0"/>
            <w:r w:rsidRPr="00EC7621">
              <w:rPr>
                <w:rFonts w:ascii="Garamond" w:hAnsi="Garamond"/>
                <w:sz w:val="20"/>
                <w:szCs w:val="20"/>
              </w:rPr>
              <w:t xml:space="preserve"> </w:t>
            </w:r>
          </w:p>
          <w:p w:rsidR="008315C2" w:rsidRPr="00EC7621" w:rsidRDefault="00EC7621" w:rsidP="00EC7621">
            <w:pPr>
              <w:pStyle w:val="Paragrafoelenco"/>
              <w:numPr>
                <w:ilvl w:val="0"/>
                <w:numId w:val="1"/>
              </w:numPr>
              <w:spacing w:after="0" w:line="240" w:lineRule="auto"/>
              <w:ind w:left="317" w:hanging="283"/>
              <w:rPr>
                <w:rFonts w:ascii="Garamond" w:hAnsi="Garamond"/>
                <w:sz w:val="20"/>
                <w:szCs w:val="20"/>
              </w:rPr>
            </w:pPr>
            <w:r w:rsidRPr="00EC7621">
              <w:rPr>
                <w:rFonts w:ascii="Garamond" w:hAnsi="Garamond"/>
                <w:sz w:val="20"/>
                <w:szCs w:val="20"/>
              </w:rPr>
              <w:t>Obblighi di comunicazione preventiva da parte del RUP nei confronti del RPCT in caso di proroghe contrattuali, rinnovi o affidamenti d’urgenza da effettuarsi tempestivamente, ove il valore del contratto comprensivo dei periodi precedenti, superi € 40.000,00.</w:t>
            </w:r>
          </w:p>
        </w:tc>
      </w:tr>
      <w:tr w:rsidR="008315C2" w:rsidTr="00EC7621">
        <w:tc>
          <w:tcPr>
            <w:tcW w:w="1668" w:type="dxa"/>
            <w:vMerge/>
          </w:tcPr>
          <w:p w:rsidR="008315C2" w:rsidRDefault="008315C2" w:rsidP="00074D6E">
            <w:pPr>
              <w:jc w:val="center"/>
            </w:pPr>
          </w:p>
        </w:tc>
        <w:tc>
          <w:tcPr>
            <w:tcW w:w="3744"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876"/>
            </w:tblGrid>
            <w:tr w:rsidR="008315C2" w:rsidRPr="008315C2">
              <w:trPr>
                <w:trHeight w:val="22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Scelta procedura di aggiudicazione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0" w:type="auto"/>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129"/>
            </w:tblGrid>
            <w:tr w:rsidR="008315C2" w:rsidRPr="008315C2">
              <w:trPr>
                <w:trHeight w:val="55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RUP/organo della SA deputato all’approvazione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3825" w:type="dxa"/>
            <w:gridSpan w:val="2"/>
          </w:tcPr>
          <w:p w:rsidR="008315C2" w:rsidRPr="00EC7621"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609"/>
            </w:tblGrid>
            <w:tr w:rsidR="008315C2" w:rsidRPr="00EC7621">
              <w:trPr>
                <w:trHeight w:val="851"/>
              </w:trPr>
              <w:tc>
                <w:tcPr>
                  <w:tcW w:w="0" w:type="auto"/>
                </w:tcPr>
                <w:p w:rsidR="008315C2" w:rsidRPr="00EC7621"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EC7621">
                    <w:rPr>
                      <w:rFonts w:ascii="Garamond" w:eastAsiaTheme="minorHAnsi" w:hAnsi="Garamond" w:cs="Garamond"/>
                      <w:color w:val="000000"/>
                      <w:sz w:val="20"/>
                      <w:szCs w:val="20"/>
                      <w:lang w:eastAsia="en-US"/>
                    </w:rPr>
                    <w:t xml:space="preserve">Scelta della procedura di gara che possa facilitare l’aggiudicazione ad un determinato </w:t>
                  </w:r>
                  <w:proofErr w:type="spellStart"/>
                  <w:r w:rsidRPr="00EC7621">
                    <w:rPr>
                      <w:rFonts w:ascii="Garamond" w:eastAsiaTheme="minorHAnsi" w:hAnsi="Garamond" w:cs="Garamond"/>
                      <w:color w:val="000000"/>
                      <w:sz w:val="20"/>
                      <w:szCs w:val="20"/>
                      <w:lang w:eastAsia="en-US"/>
                    </w:rPr>
                    <w:t>o.e</w:t>
                  </w:r>
                  <w:proofErr w:type="spellEnd"/>
                  <w:r w:rsidRPr="00EC7621">
                    <w:rPr>
                      <w:rFonts w:ascii="Garamond" w:eastAsiaTheme="minorHAnsi" w:hAnsi="Garamond" w:cs="Garamond"/>
                      <w:color w:val="000000"/>
                      <w:sz w:val="20"/>
                      <w:szCs w:val="20"/>
                      <w:lang w:eastAsia="en-US"/>
                    </w:rPr>
                    <w:t xml:space="preserve"> (es. affidamento diretto, procedura negoziata)</w:t>
                  </w:r>
                </w:p>
              </w:tc>
            </w:tr>
          </w:tbl>
          <w:p w:rsidR="008315C2" w:rsidRPr="00EC7621" w:rsidRDefault="008315C2" w:rsidP="00074D6E">
            <w:pPr>
              <w:autoSpaceDE w:val="0"/>
              <w:autoSpaceDN w:val="0"/>
              <w:adjustRightInd w:val="0"/>
              <w:jc w:val="center"/>
              <w:rPr>
                <w:rFonts w:ascii="Garamond" w:eastAsiaTheme="minorHAnsi" w:hAnsi="Garamond"/>
                <w:sz w:val="20"/>
                <w:szCs w:val="20"/>
                <w:lang w:eastAsia="en-US"/>
              </w:rPr>
            </w:pPr>
          </w:p>
          <w:p w:rsidR="008315C2" w:rsidRPr="00EC7621" w:rsidRDefault="008315C2" w:rsidP="00074D6E">
            <w:pPr>
              <w:jc w:val="center"/>
              <w:rPr>
                <w:rFonts w:ascii="Garamond" w:hAnsi="Garamond"/>
                <w:sz w:val="20"/>
                <w:szCs w:val="20"/>
              </w:rPr>
            </w:pPr>
          </w:p>
        </w:tc>
        <w:tc>
          <w:tcPr>
            <w:tcW w:w="2376" w:type="dxa"/>
          </w:tcPr>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lastRenderedPageBreak/>
              <w:t>Obbligo di motivare nella determina a contrar</w:t>
            </w:r>
            <w:r>
              <w:rPr>
                <w:rFonts w:ascii="Garamond" w:hAnsi="Garamond"/>
                <w:sz w:val="20"/>
                <w:szCs w:val="20"/>
              </w:rPr>
              <w:t xml:space="preserve">re il tipo di procedura scelto ed </w:t>
            </w:r>
            <w:r w:rsidRPr="00EC7621">
              <w:rPr>
                <w:rFonts w:ascii="Garamond" w:hAnsi="Garamond"/>
                <w:sz w:val="20"/>
                <w:szCs w:val="20"/>
              </w:rPr>
              <w:t xml:space="preserve">il sistema di affidamento </w:t>
            </w:r>
          </w:p>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t xml:space="preserve">predeterminare nella </w:t>
            </w:r>
            <w:r w:rsidRPr="00EC7621">
              <w:rPr>
                <w:rFonts w:ascii="Garamond" w:hAnsi="Garamond"/>
                <w:sz w:val="20"/>
                <w:szCs w:val="20"/>
              </w:rPr>
              <w:lastRenderedPageBreak/>
              <w:t>determina a contrarre i criteri che saranno utilizzati per l’individuazione delle imprese da invitare alla procedura negoziata (sorteggio dall’albo o indagine di mercato);</w:t>
            </w:r>
          </w:p>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t>monitorare la rotazione delle imprese vincitrici prevedendo</w:t>
            </w:r>
            <w:r w:rsidRPr="00EC7621">
              <w:rPr>
                <w:rFonts w:ascii="Garamond" w:hAnsi="Garamond"/>
                <w:sz w:val="20"/>
                <w:szCs w:val="20"/>
              </w:rPr>
              <w:br/>
              <w:t>comunicazione al RPC</w:t>
            </w:r>
            <w:r>
              <w:rPr>
                <w:rFonts w:ascii="Garamond" w:hAnsi="Garamond"/>
                <w:sz w:val="20"/>
                <w:szCs w:val="20"/>
              </w:rPr>
              <w:t>T</w:t>
            </w:r>
            <w:r w:rsidRPr="00EC7621">
              <w:rPr>
                <w:rFonts w:ascii="Garamond" w:hAnsi="Garamond"/>
                <w:sz w:val="20"/>
                <w:szCs w:val="20"/>
              </w:rPr>
              <w:t xml:space="preserve"> nel caso di ripetuti affidamenti ai medesimi</w:t>
            </w:r>
            <w:r w:rsidRPr="00EC7621">
              <w:rPr>
                <w:rFonts w:ascii="Garamond" w:hAnsi="Garamond"/>
                <w:sz w:val="20"/>
                <w:szCs w:val="20"/>
              </w:rPr>
              <w:br/>
              <w:t xml:space="preserve">operatori economici in un </w:t>
            </w:r>
            <w:r>
              <w:rPr>
                <w:rFonts w:ascii="Garamond" w:hAnsi="Garamond"/>
                <w:sz w:val="20"/>
                <w:szCs w:val="20"/>
              </w:rPr>
              <w:t>dato</w:t>
            </w:r>
            <w:r w:rsidRPr="00EC7621">
              <w:rPr>
                <w:rFonts w:ascii="Garamond" w:hAnsi="Garamond"/>
                <w:sz w:val="20"/>
                <w:szCs w:val="20"/>
              </w:rPr>
              <w:t xml:space="preserve"> arco temporale</w:t>
            </w:r>
          </w:p>
          <w:p w:rsidR="008315C2" w:rsidRPr="00EC7621" w:rsidRDefault="008315C2" w:rsidP="00074D6E">
            <w:pPr>
              <w:jc w:val="center"/>
              <w:rPr>
                <w:rFonts w:ascii="Garamond" w:hAnsi="Garamond"/>
                <w:sz w:val="20"/>
                <w:szCs w:val="20"/>
              </w:rPr>
            </w:pPr>
          </w:p>
        </w:tc>
      </w:tr>
      <w:tr w:rsidR="008315C2" w:rsidTr="00EC7621">
        <w:trPr>
          <w:trHeight w:val="70"/>
        </w:trPr>
        <w:tc>
          <w:tcPr>
            <w:tcW w:w="1668" w:type="dxa"/>
            <w:vMerge/>
          </w:tcPr>
          <w:p w:rsidR="008315C2" w:rsidRDefault="008315C2" w:rsidP="00074D6E">
            <w:pPr>
              <w:jc w:val="center"/>
            </w:pPr>
          </w:p>
        </w:tc>
        <w:tc>
          <w:tcPr>
            <w:tcW w:w="3744"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Individuazione elementi essenziali del contratto, predisposizione documentazione di gara, definizione dei requisiti di partecipazione, del criterio di aggiudicazione e dei elementi di valutazione dell’offerta in caso di OEPV</w:t>
            </w:r>
          </w:p>
          <w:tbl>
            <w:tblPr>
              <w:tblW w:w="0" w:type="auto"/>
              <w:tblBorders>
                <w:top w:val="nil"/>
                <w:left w:val="nil"/>
                <w:bottom w:val="nil"/>
                <w:right w:val="nil"/>
              </w:tblBorders>
              <w:tblLook w:val="0000"/>
            </w:tblPr>
            <w:tblGrid>
              <w:gridCol w:w="222"/>
            </w:tblGrid>
            <w:tr w:rsidR="008315C2" w:rsidRPr="008315C2">
              <w:trPr>
                <w:trHeight w:val="1798"/>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p>
              </w:tc>
            </w:tr>
          </w:tbl>
          <w:p w:rsidR="008315C2" w:rsidRPr="008315C2" w:rsidRDefault="008315C2" w:rsidP="00074D6E">
            <w:pPr>
              <w:jc w:val="center"/>
              <w:rPr>
                <w:sz w:val="20"/>
                <w:szCs w:val="20"/>
              </w:rPr>
            </w:pPr>
          </w:p>
        </w:tc>
        <w:tc>
          <w:tcPr>
            <w:tcW w:w="0" w:type="auto"/>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129"/>
            </w:tblGrid>
            <w:tr w:rsidR="008315C2" w:rsidRPr="008315C2">
              <w:trPr>
                <w:trHeight w:val="55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RUP/organo della SA deputato all’approvazione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3825" w:type="dxa"/>
            <w:gridSpan w:val="2"/>
          </w:tcPr>
          <w:p w:rsidR="008315C2" w:rsidRPr="00EC7621" w:rsidRDefault="008315C2" w:rsidP="00074D6E">
            <w:pPr>
              <w:autoSpaceDE w:val="0"/>
              <w:autoSpaceDN w:val="0"/>
              <w:adjustRightInd w:val="0"/>
              <w:jc w:val="center"/>
              <w:rPr>
                <w:rFonts w:ascii="Garamond" w:eastAsiaTheme="minorHAnsi" w:hAnsi="Garamond" w:cs="Garamond"/>
                <w:color w:val="000000"/>
                <w:sz w:val="20"/>
                <w:szCs w:val="20"/>
                <w:lang w:eastAsia="en-US"/>
              </w:rPr>
            </w:pPr>
            <w:r w:rsidRPr="00EC7621">
              <w:rPr>
                <w:rFonts w:ascii="Garamond" w:eastAsiaTheme="minorHAnsi" w:hAnsi="Garamond" w:cs="Garamond"/>
                <w:color w:val="000000"/>
                <w:sz w:val="20"/>
                <w:szCs w:val="20"/>
                <w:lang w:eastAsia="en-US"/>
              </w:rPr>
              <w:t xml:space="preserve">Inserimento di elementi che possono disincentivare la partecipazione alla gara o agevolare un determinato </w:t>
            </w:r>
            <w:proofErr w:type="spellStart"/>
            <w:r w:rsidRPr="00EC7621">
              <w:rPr>
                <w:rFonts w:ascii="Garamond" w:eastAsiaTheme="minorHAnsi" w:hAnsi="Garamond" w:cs="Garamond"/>
                <w:color w:val="000000"/>
                <w:sz w:val="20"/>
                <w:szCs w:val="20"/>
                <w:lang w:eastAsia="en-US"/>
              </w:rPr>
              <w:t>o.e.</w:t>
            </w:r>
            <w:proofErr w:type="spellEnd"/>
          </w:p>
          <w:p w:rsidR="008315C2" w:rsidRPr="00EC7621" w:rsidRDefault="008315C2" w:rsidP="00074D6E">
            <w:pPr>
              <w:autoSpaceDE w:val="0"/>
              <w:autoSpaceDN w:val="0"/>
              <w:adjustRightInd w:val="0"/>
              <w:jc w:val="center"/>
              <w:rPr>
                <w:rFonts w:ascii="Garamond" w:eastAsiaTheme="minorHAnsi" w:hAnsi="Garamond" w:cs="Garamond"/>
                <w:color w:val="000000"/>
                <w:sz w:val="20"/>
                <w:szCs w:val="20"/>
                <w:lang w:eastAsia="en-US"/>
              </w:rPr>
            </w:pPr>
            <w:r w:rsidRPr="00EC7621">
              <w:rPr>
                <w:rFonts w:ascii="Garamond" w:eastAsiaTheme="minorHAnsi" w:hAnsi="Garamond" w:cs="Garamond"/>
                <w:color w:val="000000"/>
                <w:sz w:val="20"/>
                <w:szCs w:val="20"/>
                <w:lang w:eastAsia="en-US"/>
              </w:rPr>
              <w:t xml:space="preserve">Richiesta di requisiti di partecipazione molto restrittivi o che favoriscono un determinato </w:t>
            </w:r>
            <w:proofErr w:type="spellStart"/>
            <w:r w:rsidRPr="00EC7621">
              <w:rPr>
                <w:rFonts w:ascii="Garamond" w:eastAsiaTheme="minorHAnsi" w:hAnsi="Garamond" w:cs="Garamond"/>
                <w:color w:val="000000"/>
                <w:sz w:val="20"/>
                <w:szCs w:val="20"/>
                <w:lang w:eastAsia="en-US"/>
              </w:rPr>
              <w:t>o.e.</w:t>
            </w:r>
            <w:proofErr w:type="spellEnd"/>
            <w:r w:rsidRPr="00EC7621">
              <w:rPr>
                <w:rFonts w:ascii="Garamond" w:eastAsiaTheme="minorHAnsi" w:hAnsi="Garamond" w:cs="Garamond"/>
                <w:color w:val="000000"/>
                <w:sz w:val="20"/>
                <w:szCs w:val="20"/>
                <w:lang w:eastAsia="en-US"/>
              </w:rPr>
              <w:t xml:space="preserve">, definizione del criterio di aggiudicazione, dei criteri di valutazione delle offerte e delle modalità di attribuzione dei punteggi in modo da avvantaggiare un determinato </w:t>
            </w:r>
            <w:proofErr w:type="spellStart"/>
            <w:r w:rsidRPr="00EC7621">
              <w:rPr>
                <w:rFonts w:ascii="Garamond" w:eastAsiaTheme="minorHAnsi" w:hAnsi="Garamond" w:cs="Garamond"/>
                <w:color w:val="000000"/>
                <w:sz w:val="20"/>
                <w:szCs w:val="20"/>
                <w:lang w:eastAsia="en-US"/>
              </w:rPr>
              <w:t>o.e</w:t>
            </w:r>
            <w:proofErr w:type="spellEnd"/>
            <w:r w:rsidRPr="00EC7621">
              <w:rPr>
                <w:rFonts w:ascii="Garamond" w:eastAsiaTheme="minorHAnsi" w:hAnsi="Garamond" w:cs="Garamond"/>
                <w:color w:val="000000"/>
                <w:sz w:val="20"/>
                <w:szCs w:val="20"/>
                <w:lang w:eastAsia="en-US"/>
              </w:rPr>
              <w:t>..</w:t>
            </w:r>
          </w:p>
          <w:p w:rsidR="008315C2" w:rsidRPr="00EC7621" w:rsidRDefault="008315C2" w:rsidP="00074D6E">
            <w:pPr>
              <w:autoSpaceDE w:val="0"/>
              <w:autoSpaceDN w:val="0"/>
              <w:adjustRightInd w:val="0"/>
              <w:jc w:val="center"/>
              <w:rPr>
                <w:rFonts w:ascii="Garamond" w:eastAsiaTheme="minorHAnsi" w:hAnsi="Garamond" w:cs="Garamond"/>
                <w:color w:val="000000"/>
                <w:sz w:val="20"/>
                <w:szCs w:val="20"/>
                <w:lang w:eastAsia="en-US"/>
              </w:rPr>
            </w:pPr>
            <w:r w:rsidRPr="00EC7621">
              <w:rPr>
                <w:rFonts w:ascii="Garamond" w:eastAsiaTheme="minorHAnsi" w:hAnsi="Garamond" w:cs="Garamond"/>
                <w:color w:val="000000"/>
                <w:sz w:val="20"/>
                <w:szCs w:val="20"/>
                <w:lang w:eastAsia="en-US"/>
              </w:rPr>
              <w:t>Inserimento di clausole contrattuali vessatorie per disincentivare la partecipazione o clausole vaghe per consentire modifiche in fase esecuzione o rendere di fatto inefficaci le sanzioni in caso di ritardi e/o irregolarità nell’esecuzione della prestazione.</w:t>
            </w:r>
          </w:p>
          <w:p w:rsidR="008315C2" w:rsidRPr="00EC7621" w:rsidRDefault="008315C2" w:rsidP="00074D6E">
            <w:pPr>
              <w:jc w:val="center"/>
              <w:rPr>
                <w:rFonts w:ascii="Garamond" w:hAnsi="Garamond"/>
                <w:sz w:val="20"/>
                <w:szCs w:val="20"/>
              </w:rPr>
            </w:pPr>
          </w:p>
        </w:tc>
        <w:tc>
          <w:tcPr>
            <w:tcW w:w="2376" w:type="dxa"/>
          </w:tcPr>
          <w:p w:rsidR="008315C2" w:rsidRPr="00EC7621" w:rsidRDefault="008315C2" w:rsidP="00074D6E">
            <w:pPr>
              <w:jc w:val="center"/>
              <w:rPr>
                <w:rFonts w:ascii="Garamond" w:hAnsi="Garamond"/>
                <w:sz w:val="20"/>
                <w:szCs w:val="20"/>
              </w:rPr>
            </w:pPr>
          </w:p>
          <w:p w:rsidR="00E80B88" w:rsidRPr="00EC7621" w:rsidRDefault="00E80B88" w:rsidP="00E80B88">
            <w:pPr>
              <w:jc w:val="both"/>
              <w:rPr>
                <w:rFonts w:ascii="Garamond" w:hAnsi="Garamond"/>
                <w:sz w:val="20"/>
                <w:szCs w:val="20"/>
              </w:rPr>
            </w:pPr>
            <w:r w:rsidRPr="00EC7621">
              <w:rPr>
                <w:rFonts w:ascii="Garamond" w:hAnsi="Garamond"/>
                <w:sz w:val="20"/>
                <w:szCs w:val="20"/>
              </w:rPr>
              <w:t xml:space="preserve">Utilizzo bandi tipo </w:t>
            </w:r>
            <w:proofErr w:type="spellStart"/>
            <w:r w:rsidRPr="00EC7621">
              <w:rPr>
                <w:rFonts w:ascii="Garamond" w:hAnsi="Garamond"/>
                <w:sz w:val="20"/>
                <w:szCs w:val="20"/>
              </w:rPr>
              <w:t>Anac</w:t>
            </w:r>
            <w:proofErr w:type="spellEnd"/>
          </w:p>
        </w:tc>
      </w:tr>
    </w:tbl>
    <w:p w:rsidR="008315C2" w:rsidRDefault="008315C2" w:rsidP="00074D6E">
      <w:pPr>
        <w:jc w:val="center"/>
      </w:pPr>
    </w:p>
    <w:p w:rsidR="00EC7621" w:rsidRDefault="00EC7621" w:rsidP="00074D6E">
      <w:pPr>
        <w:jc w:val="center"/>
      </w:pPr>
    </w:p>
    <w:p w:rsidR="00EC7621" w:rsidRDefault="00EC7621" w:rsidP="00074D6E">
      <w:pPr>
        <w:jc w:val="center"/>
      </w:pPr>
    </w:p>
    <w:p w:rsidR="00C87392" w:rsidRDefault="00C87392" w:rsidP="00074D6E">
      <w:pPr>
        <w:jc w:val="center"/>
      </w:pPr>
    </w:p>
    <w:tbl>
      <w:tblPr>
        <w:tblStyle w:val="Grigliatabella"/>
        <w:tblW w:w="14567" w:type="dxa"/>
        <w:tblLook w:val="04A0"/>
      </w:tblPr>
      <w:tblGrid>
        <w:gridCol w:w="1253"/>
        <w:gridCol w:w="2541"/>
        <w:gridCol w:w="2693"/>
        <w:gridCol w:w="5245"/>
        <w:gridCol w:w="2835"/>
      </w:tblGrid>
      <w:tr w:rsidR="008315C2" w:rsidRPr="002F3DE5" w:rsidTr="008A53F2">
        <w:tc>
          <w:tcPr>
            <w:tcW w:w="1253" w:type="dxa"/>
            <w:vMerge w:val="restart"/>
            <w:vAlign w:val="center"/>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037"/>
            </w:tblGrid>
            <w:tr w:rsidR="008315C2" w:rsidRPr="008315C2">
              <w:trPr>
                <w:trHeight w:val="55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Selezione del contraente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2F3DE5" w:rsidRDefault="008315C2" w:rsidP="00074D6E">
            <w:pPr>
              <w:jc w:val="center"/>
              <w:rPr>
                <w:sz w:val="20"/>
                <w:szCs w:val="20"/>
              </w:rPr>
            </w:pPr>
          </w:p>
        </w:tc>
        <w:tc>
          <w:tcPr>
            <w:tcW w:w="2541"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325"/>
            </w:tblGrid>
            <w:tr w:rsidR="008315C2" w:rsidRPr="008315C2">
              <w:trPr>
                <w:trHeight w:val="55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Pubblicazione del bando e fissazione termini per la ricezione delle offerte</w:t>
                  </w:r>
                </w:p>
              </w:tc>
            </w:tr>
          </w:tbl>
          <w:p w:rsidR="008315C2" w:rsidRPr="002F3DE5" w:rsidRDefault="008315C2"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96"/>
            </w:tblGrid>
            <w:tr w:rsidR="002F3DE5" w:rsidRPr="002F3DE5">
              <w:trPr>
                <w:trHeight w:val="22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8315C2" w:rsidRPr="002F3DE5" w:rsidRDefault="008315C2"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1167"/>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Scelta di modalità di pubblicazione e di termini per la presentazione delle offerte finalizzate a ridurre la partecipazione (es. pubblicazione o scadenza termini nel mese di agosto)</w:t>
                  </w:r>
                </w:p>
              </w:tc>
            </w:tr>
          </w:tbl>
          <w:p w:rsidR="008315C2" w:rsidRPr="002F3DE5" w:rsidRDefault="008315C2" w:rsidP="00074D6E">
            <w:pPr>
              <w:jc w:val="center"/>
              <w:rPr>
                <w:sz w:val="20"/>
                <w:szCs w:val="20"/>
              </w:rPr>
            </w:pPr>
          </w:p>
        </w:tc>
        <w:tc>
          <w:tcPr>
            <w:tcW w:w="2835" w:type="dxa"/>
          </w:tcPr>
          <w:p w:rsidR="008315C2" w:rsidRDefault="008315C2" w:rsidP="006935C2">
            <w:pPr>
              <w:rPr>
                <w:sz w:val="20"/>
                <w:szCs w:val="20"/>
              </w:rPr>
            </w:pPr>
          </w:p>
          <w:p w:rsidR="006935C2" w:rsidRPr="006935C2" w:rsidRDefault="006935C2" w:rsidP="006935C2">
            <w:pPr>
              <w:jc w:val="both"/>
              <w:rPr>
                <w:rFonts w:ascii="Garamond" w:hAnsi="Garamond" w:cs="Times New Roman"/>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8315C2" w:rsidRPr="002F3DE5" w:rsidTr="008A53F2">
        <w:tc>
          <w:tcPr>
            <w:tcW w:w="1253" w:type="dxa"/>
            <w:vMerge/>
          </w:tcPr>
          <w:p w:rsidR="008315C2" w:rsidRPr="002F3DE5" w:rsidRDefault="008315C2" w:rsidP="00074D6E">
            <w:pPr>
              <w:jc w:val="center"/>
              <w:rPr>
                <w:sz w:val="20"/>
                <w:szCs w:val="20"/>
              </w:rPr>
            </w:pPr>
          </w:p>
        </w:tc>
        <w:tc>
          <w:tcPr>
            <w:tcW w:w="2541"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325"/>
            </w:tblGrid>
            <w:tr w:rsidR="008315C2" w:rsidRPr="008315C2">
              <w:trPr>
                <w:trHeight w:val="22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Gestione della documentazione di gara</w:t>
                  </w:r>
                </w:p>
              </w:tc>
            </w:tr>
          </w:tbl>
          <w:p w:rsidR="008315C2" w:rsidRPr="002F3DE5" w:rsidRDefault="008315C2"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279"/>
            </w:tblGrid>
            <w:tr w:rsidR="002F3DE5" w:rsidRPr="002F3DE5">
              <w:trPr>
                <w:trHeight w:val="22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RUP/commissione di gara</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8315C2" w:rsidRPr="002F3DE5" w:rsidRDefault="008315C2"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852"/>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Alterazione e/o sottrazione della documentazione di gara; mancato rispetto dell’obbligo della segretezza.</w:t>
                  </w:r>
                </w:p>
              </w:tc>
            </w:tr>
          </w:tbl>
          <w:p w:rsidR="008315C2" w:rsidRPr="002F3DE5" w:rsidRDefault="008315C2" w:rsidP="00074D6E">
            <w:pPr>
              <w:jc w:val="center"/>
              <w:rPr>
                <w:sz w:val="20"/>
                <w:szCs w:val="20"/>
              </w:rPr>
            </w:pPr>
          </w:p>
        </w:tc>
        <w:tc>
          <w:tcPr>
            <w:tcW w:w="2835" w:type="dxa"/>
          </w:tcPr>
          <w:p w:rsidR="006935C2" w:rsidRDefault="006935C2" w:rsidP="00074D6E">
            <w:pPr>
              <w:jc w:val="center"/>
              <w:rPr>
                <w:rFonts w:ascii="Garamond" w:hAnsi="Garamond" w:cs="Times New Roman"/>
                <w:sz w:val="20"/>
                <w:szCs w:val="20"/>
              </w:rPr>
            </w:pPr>
          </w:p>
          <w:p w:rsidR="008315C2" w:rsidRPr="002F3DE5" w:rsidRDefault="006935C2" w:rsidP="006935C2">
            <w:pPr>
              <w:jc w:val="both"/>
              <w:rPr>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8315C2" w:rsidRPr="002F3DE5" w:rsidTr="008A53F2">
        <w:tc>
          <w:tcPr>
            <w:tcW w:w="1253" w:type="dxa"/>
            <w:vMerge/>
          </w:tcPr>
          <w:p w:rsidR="008315C2" w:rsidRPr="002F3DE5" w:rsidRDefault="008315C2" w:rsidP="00074D6E">
            <w:pPr>
              <w:jc w:val="center"/>
              <w:rPr>
                <w:sz w:val="20"/>
                <w:szCs w:val="20"/>
              </w:rPr>
            </w:pPr>
          </w:p>
        </w:tc>
        <w:tc>
          <w:tcPr>
            <w:tcW w:w="2541"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325"/>
            </w:tblGrid>
            <w:tr w:rsidR="008315C2" w:rsidRPr="008315C2">
              <w:trPr>
                <w:trHeight w:val="22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Nomina commissione di gara</w:t>
                  </w:r>
                </w:p>
              </w:tc>
            </w:tr>
          </w:tbl>
          <w:p w:rsidR="008315C2" w:rsidRPr="002F3DE5" w:rsidRDefault="008315C2"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477"/>
            </w:tblGrid>
            <w:tr w:rsidR="002F3DE5" w:rsidRPr="002F3DE5">
              <w:trPr>
                <w:trHeight w:val="5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Organo della SA deputato alla nomina</w:t>
                  </w:r>
                </w:p>
              </w:tc>
            </w:tr>
          </w:tbl>
          <w:p w:rsidR="008315C2" w:rsidRPr="002F3DE5" w:rsidRDefault="008315C2"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5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 xml:space="preserve">Nomina di soggetti compiacenti per favorire l’aggiudicazione a un determinato </w:t>
                  </w:r>
                  <w:proofErr w:type="spellStart"/>
                  <w:r w:rsidRPr="002F3DE5">
                    <w:rPr>
                      <w:rFonts w:ascii="Garamond" w:eastAsiaTheme="minorHAnsi" w:hAnsi="Garamond" w:cs="Garamond"/>
                      <w:color w:val="000000"/>
                      <w:sz w:val="20"/>
                      <w:szCs w:val="20"/>
                      <w:lang w:eastAsia="en-US"/>
                    </w:rPr>
                    <w:t>o.e.</w:t>
                  </w:r>
                  <w:proofErr w:type="spellEnd"/>
                </w:p>
              </w:tc>
            </w:tr>
          </w:tbl>
          <w:p w:rsidR="008315C2" w:rsidRPr="002F3DE5" w:rsidRDefault="008315C2" w:rsidP="00074D6E">
            <w:pPr>
              <w:jc w:val="center"/>
              <w:rPr>
                <w:sz w:val="20"/>
                <w:szCs w:val="20"/>
              </w:rPr>
            </w:pPr>
          </w:p>
        </w:tc>
        <w:tc>
          <w:tcPr>
            <w:tcW w:w="2835" w:type="dxa"/>
          </w:tcPr>
          <w:p w:rsidR="008315C2" w:rsidRDefault="008315C2" w:rsidP="00074D6E">
            <w:pPr>
              <w:jc w:val="center"/>
              <w:rPr>
                <w:sz w:val="20"/>
                <w:szCs w:val="20"/>
              </w:rPr>
            </w:pPr>
          </w:p>
          <w:p w:rsidR="006935C2" w:rsidRPr="006935C2" w:rsidRDefault="006935C2" w:rsidP="006935C2">
            <w:pPr>
              <w:jc w:val="both"/>
              <w:rPr>
                <w:rFonts w:ascii="Garamond" w:hAnsi="Garamond"/>
                <w:sz w:val="20"/>
                <w:szCs w:val="20"/>
              </w:rPr>
            </w:pPr>
            <w:r w:rsidRPr="006935C2">
              <w:rPr>
                <w:rFonts w:ascii="Garamond" w:hAnsi="Garamond"/>
                <w:sz w:val="20"/>
                <w:szCs w:val="20"/>
              </w:rPr>
              <w:t>Applicazione dei criteri e delle modalità per la nomina delle Commissioni giudicatrici approvati con Decreto del Presidente n.111 del 6.11.2019</w:t>
            </w:r>
          </w:p>
        </w:tc>
      </w:tr>
      <w:tr w:rsidR="008315C2" w:rsidRPr="002F3DE5" w:rsidTr="008A53F2">
        <w:tc>
          <w:tcPr>
            <w:tcW w:w="1253" w:type="dxa"/>
            <w:vMerge/>
          </w:tcPr>
          <w:p w:rsidR="008315C2" w:rsidRPr="002F3DE5" w:rsidRDefault="008315C2" w:rsidP="00074D6E">
            <w:pPr>
              <w:jc w:val="center"/>
              <w:rPr>
                <w:sz w:val="20"/>
                <w:szCs w:val="20"/>
              </w:rPr>
            </w:pPr>
          </w:p>
        </w:tc>
        <w:tc>
          <w:tcPr>
            <w:tcW w:w="2541"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029"/>
            </w:tblGrid>
            <w:tr w:rsidR="008315C2" w:rsidRPr="008315C2">
              <w:trPr>
                <w:trHeight w:val="22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Gestione sedute di gara</w:t>
                  </w:r>
                </w:p>
              </w:tc>
            </w:tr>
          </w:tbl>
          <w:p w:rsidR="008315C2" w:rsidRPr="002F3DE5" w:rsidRDefault="008315C2"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96"/>
            </w:tblGrid>
            <w:tr w:rsidR="002F3DE5" w:rsidRPr="002F3DE5">
              <w:trPr>
                <w:trHeight w:val="22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w:t>
                  </w:r>
                </w:p>
              </w:tc>
            </w:tr>
          </w:tbl>
          <w:p w:rsidR="008315C2" w:rsidRPr="002F3DE5" w:rsidRDefault="008315C2"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536"/>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4813"/>
                  </w:tblGrid>
                  <w:tr w:rsidR="002F3DE5" w:rsidRPr="002F3DE5">
                    <w:trPr>
                      <w:trHeight w:val="852"/>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Definizione delle date delle sedute pubbliche e inidonea pubblicità in modo da scoraggiare la partecipazione di alcuni concorrenti.</w:t>
                        </w:r>
                      </w:p>
                    </w:tc>
                  </w:tr>
                </w:tbl>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p>
              </w:tc>
            </w:tr>
          </w:tbl>
          <w:p w:rsidR="008315C2" w:rsidRPr="002F3DE5" w:rsidRDefault="008315C2" w:rsidP="00074D6E">
            <w:pPr>
              <w:jc w:val="center"/>
              <w:rPr>
                <w:sz w:val="20"/>
                <w:szCs w:val="20"/>
              </w:rPr>
            </w:pPr>
          </w:p>
        </w:tc>
        <w:tc>
          <w:tcPr>
            <w:tcW w:w="2835" w:type="dxa"/>
          </w:tcPr>
          <w:p w:rsidR="006935C2" w:rsidRDefault="006935C2" w:rsidP="006935C2">
            <w:pPr>
              <w:jc w:val="both"/>
              <w:rPr>
                <w:rFonts w:ascii="Garamond" w:hAnsi="Garamond" w:cs="Times New Roman"/>
                <w:sz w:val="20"/>
                <w:szCs w:val="20"/>
              </w:rPr>
            </w:pPr>
          </w:p>
          <w:p w:rsidR="008315C2" w:rsidRPr="002F3DE5" w:rsidRDefault="006935C2" w:rsidP="006935C2">
            <w:pPr>
              <w:jc w:val="both"/>
              <w:rPr>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8315C2" w:rsidRPr="002F3DE5" w:rsidTr="008A53F2">
        <w:tc>
          <w:tcPr>
            <w:tcW w:w="1253" w:type="dxa"/>
            <w:vMerge/>
          </w:tcPr>
          <w:p w:rsidR="008315C2" w:rsidRPr="002F3DE5" w:rsidRDefault="008315C2" w:rsidP="00074D6E">
            <w:pPr>
              <w:jc w:val="center"/>
              <w:rPr>
                <w:sz w:val="20"/>
                <w:szCs w:val="20"/>
              </w:rPr>
            </w:pPr>
          </w:p>
        </w:tc>
        <w:tc>
          <w:tcPr>
            <w:tcW w:w="2541"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325"/>
            </w:tblGrid>
            <w:tr w:rsidR="002F3DE5" w:rsidRPr="002F3DE5">
              <w:trPr>
                <w:trHeight w:val="22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Verifica requisiti di partecipazione</w:t>
                  </w:r>
                </w:p>
              </w:tc>
            </w:tr>
          </w:tbl>
          <w:p w:rsidR="008315C2" w:rsidRPr="002F3DE5" w:rsidRDefault="008315C2"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477"/>
            </w:tblGrid>
            <w:tr w:rsidR="002F3DE5" w:rsidRPr="002F3DE5">
              <w:trPr>
                <w:trHeight w:val="5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RUP/seggio di gara/apposito ufficio della SA</w:t>
                  </w:r>
                </w:p>
              </w:tc>
            </w:tr>
          </w:tbl>
          <w:p w:rsidR="008315C2" w:rsidRPr="002F3DE5" w:rsidRDefault="008315C2"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1167"/>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 xml:space="preserve">Verifica incompleta o non sufficientemente approfondita per agevolare l’ammissione di un determinato </w:t>
                  </w:r>
                  <w:proofErr w:type="spellStart"/>
                  <w:r w:rsidRPr="002F3DE5">
                    <w:rPr>
                      <w:rFonts w:ascii="Garamond" w:eastAsiaTheme="minorHAnsi" w:hAnsi="Garamond" w:cs="Garamond"/>
                      <w:color w:val="000000"/>
                      <w:sz w:val="20"/>
                      <w:szCs w:val="20"/>
                      <w:lang w:eastAsia="en-US"/>
                    </w:rPr>
                    <w:t>o.e.</w:t>
                  </w:r>
                  <w:proofErr w:type="spellEnd"/>
                  <w:r w:rsidRPr="002F3DE5">
                    <w:rPr>
                      <w:rFonts w:ascii="Garamond" w:eastAsiaTheme="minorHAnsi" w:hAnsi="Garamond" w:cs="Garamond"/>
                      <w:color w:val="000000"/>
                      <w:sz w:val="20"/>
                      <w:szCs w:val="20"/>
                      <w:lang w:eastAsia="en-US"/>
                    </w:rPr>
                    <w:t>; alterazione delle verifiche per eliminare alcuni concorrenti</w:t>
                  </w:r>
                </w:p>
              </w:tc>
            </w:tr>
          </w:tbl>
          <w:p w:rsidR="008315C2" w:rsidRPr="002F3DE5" w:rsidRDefault="008315C2" w:rsidP="00074D6E">
            <w:pPr>
              <w:jc w:val="center"/>
              <w:rPr>
                <w:sz w:val="20"/>
                <w:szCs w:val="20"/>
              </w:rPr>
            </w:pPr>
          </w:p>
        </w:tc>
        <w:tc>
          <w:tcPr>
            <w:tcW w:w="2835" w:type="dxa"/>
          </w:tcPr>
          <w:p w:rsidR="006935C2" w:rsidRDefault="006935C2" w:rsidP="006935C2">
            <w:pPr>
              <w:jc w:val="both"/>
              <w:rPr>
                <w:rFonts w:ascii="Garamond" w:hAnsi="Garamond" w:cs="Times New Roman"/>
                <w:sz w:val="20"/>
                <w:szCs w:val="20"/>
              </w:rPr>
            </w:pPr>
          </w:p>
          <w:p w:rsidR="008315C2" w:rsidRPr="002F3DE5" w:rsidRDefault="006935C2" w:rsidP="006935C2">
            <w:pPr>
              <w:jc w:val="both"/>
              <w:rPr>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2F3DE5" w:rsidRPr="002F3DE5" w:rsidTr="008A53F2">
        <w:tc>
          <w:tcPr>
            <w:tcW w:w="1253" w:type="dxa"/>
            <w:vMerge/>
          </w:tcPr>
          <w:p w:rsidR="002F3DE5" w:rsidRPr="002F3DE5" w:rsidRDefault="002F3DE5" w:rsidP="00074D6E">
            <w:pPr>
              <w:jc w:val="center"/>
              <w:rPr>
                <w:sz w:val="20"/>
                <w:szCs w:val="20"/>
              </w:rPr>
            </w:pPr>
          </w:p>
        </w:tc>
        <w:tc>
          <w:tcPr>
            <w:tcW w:w="2541" w:type="dxa"/>
          </w:tcPr>
          <w:p w:rsidR="002F3DE5" w:rsidRPr="008315C2"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708"/>
            </w:tblGrid>
            <w:tr w:rsidR="002F3DE5" w:rsidRPr="008315C2" w:rsidTr="00E4317C">
              <w:trPr>
                <w:trHeight w:val="221"/>
              </w:trPr>
              <w:tc>
                <w:tcPr>
                  <w:tcW w:w="0" w:type="auto"/>
                </w:tcPr>
                <w:p w:rsidR="002F3DE5" w:rsidRPr="008315C2"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Valutazione offerte</w:t>
                  </w:r>
                </w:p>
              </w:tc>
            </w:tr>
          </w:tbl>
          <w:p w:rsidR="002F3DE5" w:rsidRPr="002F3DE5" w:rsidRDefault="002F3DE5"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704"/>
            </w:tblGrid>
            <w:tr w:rsidR="002F3DE5" w:rsidRPr="002F3DE5">
              <w:trPr>
                <w:trHeight w:val="22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Commissari di gara</w:t>
                  </w:r>
                </w:p>
              </w:tc>
            </w:tr>
          </w:tbl>
          <w:p w:rsidR="002F3DE5" w:rsidRPr="002F3DE5" w:rsidRDefault="002F3DE5"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5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Applicazione distorta dei criteri di aggiudicazione per manipolarne l’esito</w:t>
                  </w:r>
                </w:p>
              </w:tc>
            </w:tr>
          </w:tbl>
          <w:p w:rsidR="002F3DE5" w:rsidRPr="002F3DE5" w:rsidRDefault="002F3DE5" w:rsidP="00074D6E">
            <w:pPr>
              <w:jc w:val="center"/>
              <w:rPr>
                <w:sz w:val="20"/>
                <w:szCs w:val="20"/>
              </w:rPr>
            </w:pPr>
          </w:p>
        </w:tc>
        <w:tc>
          <w:tcPr>
            <w:tcW w:w="2835" w:type="dxa"/>
          </w:tcPr>
          <w:p w:rsidR="002F3DE5" w:rsidRPr="002F3DE5" w:rsidRDefault="006935C2" w:rsidP="006935C2">
            <w:pPr>
              <w:jc w:val="both"/>
              <w:rPr>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2F3DE5" w:rsidRPr="002F3DE5" w:rsidTr="008A53F2">
        <w:tc>
          <w:tcPr>
            <w:tcW w:w="1253" w:type="dxa"/>
            <w:vMerge/>
          </w:tcPr>
          <w:p w:rsidR="002F3DE5" w:rsidRPr="002F3DE5" w:rsidRDefault="002F3DE5" w:rsidP="00074D6E">
            <w:pPr>
              <w:jc w:val="center"/>
              <w:rPr>
                <w:sz w:val="20"/>
                <w:szCs w:val="20"/>
              </w:rPr>
            </w:pPr>
          </w:p>
        </w:tc>
        <w:tc>
          <w:tcPr>
            <w:tcW w:w="2541" w:type="dxa"/>
          </w:tcPr>
          <w:p w:rsidR="002F3DE5" w:rsidRPr="008315C2"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325"/>
            </w:tblGrid>
            <w:tr w:rsidR="002F3DE5" w:rsidRPr="008315C2" w:rsidTr="00E4317C">
              <w:trPr>
                <w:trHeight w:val="221"/>
              </w:trPr>
              <w:tc>
                <w:tcPr>
                  <w:tcW w:w="0" w:type="auto"/>
                </w:tcPr>
                <w:p w:rsidR="002F3DE5" w:rsidRPr="008315C2"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Verifica offerte anormalmente basse</w:t>
                  </w:r>
                </w:p>
              </w:tc>
            </w:tr>
          </w:tbl>
          <w:p w:rsidR="002F3DE5" w:rsidRPr="002F3DE5" w:rsidRDefault="002F3DE5"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477"/>
            </w:tblGrid>
            <w:tr w:rsidR="002F3DE5" w:rsidRPr="002F3DE5">
              <w:trPr>
                <w:trHeight w:val="5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RUP/commissione specifica/commissione giudicatrice</w:t>
                  </w:r>
                </w:p>
              </w:tc>
            </w:tr>
          </w:tbl>
          <w:p w:rsidR="002F3DE5" w:rsidRPr="002F3DE5" w:rsidRDefault="002F3DE5"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8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 xml:space="preserve">Applicazione distorta delle verifiche al fine di agevolare l’aggiudicazione ad un determinato </w:t>
                  </w:r>
                  <w:proofErr w:type="spellStart"/>
                  <w:r w:rsidRPr="002F3DE5">
                    <w:rPr>
                      <w:rFonts w:ascii="Garamond" w:eastAsiaTheme="minorHAnsi" w:hAnsi="Garamond" w:cs="Garamond"/>
                      <w:color w:val="000000"/>
                      <w:sz w:val="20"/>
                      <w:szCs w:val="20"/>
                      <w:lang w:eastAsia="en-US"/>
                    </w:rPr>
                    <w:t>o.e.</w:t>
                  </w:r>
                  <w:proofErr w:type="spellEnd"/>
                  <w:r w:rsidRPr="002F3DE5">
                    <w:rPr>
                      <w:rFonts w:ascii="Garamond" w:eastAsiaTheme="minorHAnsi" w:hAnsi="Garamond" w:cs="Garamond"/>
                      <w:color w:val="000000"/>
                      <w:sz w:val="20"/>
                      <w:szCs w:val="20"/>
                      <w:lang w:eastAsia="en-US"/>
                    </w:rPr>
                    <w:t xml:space="preserve"> e/o di escludere alcuni concorrenti</w:t>
                  </w:r>
                </w:p>
              </w:tc>
            </w:tr>
          </w:tbl>
          <w:p w:rsidR="002F3DE5" w:rsidRPr="002F3DE5" w:rsidRDefault="002F3DE5" w:rsidP="00074D6E">
            <w:pPr>
              <w:jc w:val="center"/>
              <w:rPr>
                <w:sz w:val="20"/>
                <w:szCs w:val="20"/>
              </w:rPr>
            </w:pPr>
          </w:p>
        </w:tc>
        <w:tc>
          <w:tcPr>
            <w:tcW w:w="2835" w:type="dxa"/>
          </w:tcPr>
          <w:p w:rsidR="006935C2" w:rsidRDefault="006935C2" w:rsidP="006935C2">
            <w:pPr>
              <w:jc w:val="both"/>
              <w:rPr>
                <w:rFonts w:ascii="Garamond" w:hAnsi="Garamond" w:cs="Times New Roman"/>
                <w:sz w:val="20"/>
                <w:szCs w:val="20"/>
              </w:rPr>
            </w:pPr>
          </w:p>
          <w:p w:rsidR="002F3DE5" w:rsidRPr="002F3DE5" w:rsidRDefault="006935C2" w:rsidP="006935C2">
            <w:pPr>
              <w:jc w:val="both"/>
              <w:rPr>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bl>
    <w:p w:rsidR="008315C2" w:rsidRDefault="008315C2" w:rsidP="00074D6E">
      <w:pPr>
        <w:jc w:val="center"/>
      </w:pPr>
    </w:p>
    <w:p w:rsidR="002F3DE5" w:rsidRDefault="002F3DE5" w:rsidP="00074D6E">
      <w:pPr>
        <w:jc w:val="center"/>
      </w:pPr>
    </w:p>
    <w:p w:rsidR="00C87392" w:rsidRDefault="00C87392" w:rsidP="00074D6E">
      <w:pPr>
        <w:jc w:val="center"/>
      </w:pPr>
    </w:p>
    <w:tbl>
      <w:tblPr>
        <w:tblStyle w:val="Grigliatabella"/>
        <w:tblpPr w:leftFromText="141" w:rightFromText="141" w:vertAnchor="text" w:tblpY="1"/>
        <w:tblOverlap w:val="never"/>
        <w:tblW w:w="0" w:type="auto"/>
        <w:tblLook w:val="04A0"/>
      </w:tblPr>
      <w:tblGrid>
        <w:gridCol w:w="1665"/>
        <w:gridCol w:w="3933"/>
        <w:gridCol w:w="2382"/>
        <w:gridCol w:w="5307"/>
        <w:gridCol w:w="1264"/>
      </w:tblGrid>
      <w:tr w:rsidR="002F3DE5" w:rsidTr="006935C2">
        <w:tc>
          <w:tcPr>
            <w:tcW w:w="1665" w:type="dxa"/>
            <w:vAlign w:val="center"/>
          </w:tcPr>
          <w:p w:rsidR="002F3DE5" w:rsidRPr="00C94100" w:rsidRDefault="002F3DE5" w:rsidP="00074D6E">
            <w:pPr>
              <w:jc w:val="center"/>
              <w:rPr>
                <w:sz w:val="20"/>
                <w:szCs w:val="20"/>
              </w:rPr>
            </w:pPr>
          </w:p>
        </w:tc>
        <w:tc>
          <w:tcPr>
            <w:tcW w:w="3933"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601"/>
            </w:tblGrid>
            <w:tr w:rsidR="002F3DE5" w:rsidRPr="002F3DE5">
              <w:trPr>
                <w:trHeight w:val="551"/>
              </w:trPr>
              <w:tc>
                <w:tcPr>
                  <w:tcW w:w="0" w:type="auto"/>
                </w:tcPr>
                <w:p w:rsidR="002F3DE5" w:rsidRPr="002F3DE5" w:rsidRDefault="002F3DE5"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Gestione elenchi o albi operatori economici</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2382"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96"/>
            </w:tblGrid>
            <w:tr w:rsidR="002F3DE5" w:rsidRPr="002F3DE5">
              <w:trPr>
                <w:trHeight w:val="221"/>
              </w:trPr>
              <w:tc>
                <w:tcPr>
                  <w:tcW w:w="0" w:type="auto"/>
                </w:tcPr>
                <w:p w:rsidR="002F3DE5" w:rsidRPr="002F3DE5" w:rsidRDefault="002F3DE5"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5307"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2F3DE5" w:rsidRPr="002F3DE5">
              <w:trPr>
                <w:trHeight w:val="1483"/>
              </w:trPr>
              <w:tc>
                <w:tcPr>
                  <w:tcW w:w="0" w:type="auto"/>
                </w:tcPr>
                <w:p w:rsidR="002F3DE5" w:rsidRPr="002F3DE5" w:rsidRDefault="002F3DE5"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 xml:space="preserve">Comportamenti volti a disincentivare l’iscrizione (ridotta pubblicità dell’elenco, termini ristretti per l’iscrizione, aggiornamenti non frequenti), mancato rispetto del principio di rotazione con inviti frequenti ad uno o più </w:t>
                  </w:r>
                  <w:proofErr w:type="spellStart"/>
                  <w:r w:rsidRPr="002F3DE5">
                    <w:rPr>
                      <w:rFonts w:ascii="Garamond" w:eastAsiaTheme="minorHAnsi" w:hAnsi="Garamond" w:cs="Garamond"/>
                      <w:color w:val="000000"/>
                      <w:sz w:val="20"/>
                      <w:szCs w:val="20"/>
                      <w:lang w:eastAsia="en-US"/>
                    </w:rPr>
                    <w:t>oo.ee.</w:t>
                  </w:r>
                  <w:proofErr w:type="spellEnd"/>
                </w:p>
              </w:tc>
            </w:tr>
          </w:tbl>
          <w:p w:rsidR="002F3DE5" w:rsidRPr="00C94100" w:rsidRDefault="002F3DE5" w:rsidP="00074D6E">
            <w:pPr>
              <w:jc w:val="center"/>
              <w:rPr>
                <w:sz w:val="20"/>
                <w:szCs w:val="20"/>
              </w:rPr>
            </w:pPr>
          </w:p>
        </w:tc>
        <w:tc>
          <w:tcPr>
            <w:tcW w:w="1216" w:type="dxa"/>
            <w:vAlign w:val="center"/>
          </w:tcPr>
          <w:p w:rsidR="002F3DE5" w:rsidRDefault="006935C2" w:rsidP="00074D6E">
            <w:pPr>
              <w:jc w:val="cente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2F3DE5" w:rsidTr="006935C2">
        <w:tc>
          <w:tcPr>
            <w:tcW w:w="1665" w:type="dxa"/>
            <w:vMerge w:val="restart"/>
            <w:vAlign w:val="center"/>
          </w:tcPr>
          <w:p w:rsidR="002F3DE5" w:rsidRPr="00C94100" w:rsidRDefault="002F3DE5" w:rsidP="00074D6E">
            <w:pPr>
              <w:jc w:val="center"/>
              <w:rPr>
                <w:sz w:val="20"/>
                <w:szCs w:val="20"/>
              </w:rPr>
            </w:pPr>
          </w:p>
          <w:p w:rsidR="002F3DE5" w:rsidRPr="00C94100" w:rsidRDefault="002F3DE5" w:rsidP="00074D6E">
            <w:pPr>
              <w:jc w:val="center"/>
              <w:rPr>
                <w:sz w:val="20"/>
                <w:szCs w:val="20"/>
              </w:rPr>
            </w:pPr>
          </w:p>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449"/>
            </w:tblGrid>
            <w:tr w:rsidR="002F3DE5" w:rsidRPr="002F3DE5">
              <w:trPr>
                <w:trHeight w:val="851"/>
              </w:trPr>
              <w:tc>
                <w:tcPr>
                  <w:tcW w:w="0" w:type="auto"/>
                </w:tcPr>
                <w:p w:rsidR="002F3DE5" w:rsidRPr="002F3DE5" w:rsidRDefault="002F3DE5"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Verifica aggiudicazione e stipula contratto</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3933"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17"/>
            </w:tblGrid>
            <w:tr w:rsidR="002F3DE5" w:rsidRPr="002F3DE5">
              <w:trPr>
                <w:trHeight w:val="551"/>
              </w:trPr>
              <w:tc>
                <w:tcPr>
                  <w:tcW w:w="0" w:type="auto"/>
                </w:tcPr>
                <w:p w:rsidR="002F3DE5" w:rsidRPr="002F3DE5" w:rsidRDefault="002F3DE5"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Verifica dei requisiti ai fini della stipula del contratto</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2382"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96"/>
            </w:tblGrid>
            <w:tr w:rsidR="002F3DE5" w:rsidRPr="002F3DE5">
              <w:trPr>
                <w:trHeight w:val="221"/>
              </w:trPr>
              <w:tc>
                <w:tcPr>
                  <w:tcW w:w="0" w:type="auto"/>
                </w:tcPr>
                <w:p w:rsidR="002F3DE5" w:rsidRPr="002F3DE5" w:rsidRDefault="002F3DE5"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5307"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2F3DE5" w:rsidRPr="002F3DE5">
              <w:trPr>
                <w:trHeight w:val="536"/>
              </w:trPr>
              <w:tc>
                <w:tcPr>
                  <w:tcW w:w="0" w:type="auto"/>
                </w:tcPr>
                <w:p w:rsidR="002F3DE5" w:rsidRPr="002F3DE5" w:rsidRDefault="002F3DE5"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Ritardi nelle comunicazioni/pubblicazioni per disincentivare i ricorsi giurisdizionali</w:t>
                  </w:r>
                </w:p>
              </w:tc>
            </w:tr>
          </w:tbl>
          <w:p w:rsidR="002F3DE5" w:rsidRPr="00C94100" w:rsidRDefault="002F3DE5" w:rsidP="00074D6E">
            <w:pPr>
              <w:jc w:val="center"/>
              <w:rPr>
                <w:sz w:val="20"/>
                <w:szCs w:val="20"/>
              </w:rPr>
            </w:pPr>
          </w:p>
        </w:tc>
        <w:tc>
          <w:tcPr>
            <w:tcW w:w="1216" w:type="dxa"/>
            <w:vAlign w:val="center"/>
          </w:tcPr>
          <w:p w:rsidR="002F3DE5" w:rsidRPr="006935C2" w:rsidRDefault="006935C2" w:rsidP="006935C2">
            <w:pPr>
              <w:jc w:val="both"/>
              <w:rPr>
                <w:rFonts w:ascii="Garamond" w:hAnsi="Garamond"/>
                <w:sz w:val="20"/>
                <w:szCs w:val="20"/>
              </w:rPr>
            </w:pPr>
            <w:r w:rsidRPr="006935C2">
              <w:rPr>
                <w:rFonts w:ascii="Garamond" w:hAnsi="Garamond"/>
                <w:sz w:val="20"/>
                <w:szCs w:val="20"/>
              </w:rPr>
              <w:t>Controllo ufficiale rogante</w:t>
            </w:r>
          </w:p>
        </w:tc>
      </w:tr>
      <w:tr w:rsidR="002F3DE5" w:rsidTr="006935C2">
        <w:tc>
          <w:tcPr>
            <w:tcW w:w="1665" w:type="dxa"/>
            <w:vMerge/>
            <w:vAlign w:val="center"/>
          </w:tcPr>
          <w:p w:rsidR="002F3DE5" w:rsidRPr="00C94100" w:rsidRDefault="002F3DE5" w:rsidP="00074D6E">
            <w:pPr>
              <w:jc w:val="center"/>
              <w:rPr>
                <w:sz w:val="20"/>
                <w:szCs w:val="20"/>
              </w:rPr>
            </w:pPr>
          </w:p>
        </w:tc>
        <w:tc>
          <w:tcPr>
            <w:tcW w:w="3933" w:type="dxa"/>
            <w:vAlign w:val="center"/>
          </w:tcPr>
          <w:p w:rsidR="00FB220F" w:rsidRPr="00FB220F" w:rsidRDefault="00FB220F"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17"/>
            </w:tblGrid>
            <w:tr w:rsidR="00FB220F" w:rsidRPr="00FB220F">
              <w:trPr>
                <w:trHeight w:val="536"/>
              </w:trPr>
              <w:tc>
                <w:tcPr>
                  <w:tcW w:w="0" w:type="auto"/>
                </w:tcPr>
                <w:p w:rsidR="00FB220F" w:rsidRPr="00FB220F" w:rsidRDefault="00FB220F"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FB220F">
                    <w:rPr>
                      <w:rFonts w:ascii="Garamond" w:eastAsiaTheme="minorHAnsi" w:hAnsi="Garamond" w:cs="Garamond"/>
                      <w:color w:val="000000"/>
                      <w:sz w:val="20"/>
                      <w:szCs w:val="20"/>
                      <w:lang w:eastAsia="en-US"/>
                    </w:rPr>
                    <w:t>Comunicazioni/pubblicazioni inerenti le esclusioni e l’aggiudicazione</w:t>
                  </w:r>
                </w:p>
              </w:tc>
            </w:tr>
          </w:tbl>
          <w:p w:rsidR="00FB220F" w:rsidRPr="00FB220F" w:rsidRDefault="00FB220F"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2382" w:type="dxa"/>
            <w:vAlign w:val="center"/>
          </w:tcPr>
          <w:p w:rsidR="002F3DE5" w:rsidRPr="00C94100" w:rsidRDefault="002F3DE5" w:rsidP="00074D6E">
            <w:pPr>
              <w:jc w:val="center"/>
              <w:rPr>
                <w:sz w:val="20"/>
                <w:szCs w:val="20"/>
              </w:rPr>
            </w:pPr>
            <w:r w:rsidRPr="002F3DE5">
              <w:rPr>
                <w:rFonts w:ascii="Garamond" w:eastAsiaTheme="minorHAnsi" w:hAnsi="Garamond" w:cs="Garamond"/>
                <w:color w:val="000000"/>
                <w:sz w:val="20"/>
                <w:szCs w:val="20"/>
                <w:lang w:eastAsia="en-US"/>
              </w:rPr>
              <w:t>RUP</w:t>
            </w:r>
          </w:p>
        </w:tc>
        <w:tc>
          <w:tcPr>
            <w:tcW w:w="5307" w:type="dxa"/>
            <w:vAlign w:val="center"/>
          </w:tcPr>
          <w:p w:rsidR="00FB220F" w:rsidRPr="00FB220F" w:rsidRDefault="00FB220F"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FB220F" w:rsidRPr="00FB220F">
              <w:trPr>
                <w:trHeight w:val="536"/>
              </w:trPr>
              <w:tc>
                <w:tcPr>
                  <w:tcW w:w="0" w:type="auto"/>
                </w:tcPr>
                <w:p w:rsidR="00FB220F" w:rsidRPr="00FB220F" w:rsidRDefault="00FB220F"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FB220F">
                    <w:rPr>
                      <w:rFonts w:ascii="Garamond" w:eastAsiaTheme="minorHAnsi" w:hAnsi="Garamond" w:cs="Garamond"/>
                      <w:color w:val="000000"/>
                      <w:sz w:val="20"/>
                      <w:szCs w:val="20"/>
                      <w:lang w:eastAsia="en-US"/>
                    </w:rPr>
                    <w:t>Ritardi nelle comunicazioni/pubblicazioni per disincentivare i ricorsi giurisdizionali</w:t>
                  </w:r>
                </w:p>
              </w:tc>
            </w:tr>
          </w:tbl>
          <w:p w:rsidR="002F3DE5" w:rsidRPr="00C94100" w:rsidRDefault="002F3DE5" w:rsidP="00074D6E">
            <w:pPr>
              <w:jc w:val="center"/>
              <w:rPr>
                <w:sz w:val="20"/>
                <w:szCs w:val="20"/>
              </w:rPr>
            </w:pPr>
          </w:p>
        </w:tc>
        <w:tc>
          <w:tcPr>
            <w:tcW w:w="1216" w:type="dxa"/>
            <w:vAlign w:val="center"/>
          </w:tcPr>
          <w:p w:rsidR="002F3DE5" w:rsidRDefault="006935C2" w:rsidP="006935C2">
            <w:pPr>
              <w:jc w:val="cente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r>
              <w:rPr>
                <w:rFonts w:ascii="Garamond" w:hAnsi="Garamond" w:cs="Times New Roman"/>
                <w:color w:val="000000"/>
                <w:sz w:val="20"/>
                <w:szCs w:val="20"/>
                <w:shd w:val="clear" w:color="auto" w:fill="FFFFFF"/>
              </w:rPr>
              <w:t xml:space="preserve">e </w:t>
            </w:r>
            <w:r w:rsidRPr="006935C2">
              <w:rPr>
                <w:rFonts w:ascii="Garamond" w:hAnsi="Garamond"/>
                <w:sz w:val="20"/>
                <w:szCs w:val="20"/>
              </w:rPr>
              <w:t xml:space="preserve"> </w:t>
            </w:r>
            <w:r>
              <w:rPr>
                <w:rFonts w:ascii="Garamond" w:hAnsi="Garamond"/>
                <w:sz w:val="20"/>
                <w:szCs w:val="20"/>
              </w:rPr>
              <w:t>c</w:t>
            </w:r>
            <w:r w:rsidRPr="006935C2">
              <w:rPr>
                <w:rFonts w:ascii="Garamond" w:hAnsi="Garamond"/>
                <w:sz w:val="20"/>
                <w:szCs w:val="20"/>
              </w:rPr>
              <w:t>ontrollo ufficiale rogante</w:t>
            </w:r>
          </w:p>
        </w:tc>
      </w:tr>
      <w:tr w:rsidR="00FB220F" w:rsidTr="006935C2">
        <w:tc>
          <w:tcPr>
            <w:tcW w:w="1665" w:type="dxa"/>
            <w:vMerge/>
            <w:vAlign w:val="center"/>
          </w:tcPr>
          <w:p w:rsidR="00FB220F" w:rsidRPr="00C94100" w:rsidRDefault="00FB220F" w:rsidP="00074D6E">
            <w:pPr>
              <w:jc w:val="center"/>
              <w:rPr>
                <w:sz w:val="20"/>
                <w:szCs w:val="20"/>
              </w:rPr>
            </w:pPr>
          </w:p>
        </w:tc>
        <w:tc>
          <w:tcPr>
            <w:tcW w:w="3933" w:type="dxa"/>
            <w:vAlign w:val="center"/>
          </w:tcPr>
          <w:p w:rsidR="00FB220F" w:rsidRPr="00FB220F" w:rsidRDefault="00FB220F"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506"/>
            </w:tblGrid>
            <w:tr w:rsidR="00FB220F" w:rsidRPr="00FB220F" w:rsidTr="00E4317C">
              <w:trPr>
                <w:trHeight w:val="221"/>
              </w:trPr>
              <w:tc>
                <w:tcPr>
                  <w:tcW w:w="0" w:type="auto"/>
                </w:tcPr>
                <w:p w:rsidR="00FB220F" w:rsidRPr="00FB220F" w:rsidRDefault="00FB220F"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FB220F">
                    <w:rPr>
                      <w:rFonts w:ascii="Garamond" w:eastAsiaTheme="minorHAnsi" w:hAnsi="Garamond" w:cs="Garamond"/>
                      <w:color w:val="000000"/>
                      <w:sz w:val="20"/>
                      <w:szCs w:val="20"/>
                      <w:lang w:eastAsia="en-US"/>
                    </w:rPr>
                    <w:t>Stipula contratto</w:t>
                  </w:r>
                </w:p>
              </w:tc>
            </w:tr>
          </w:tbl>
          <w:p w:rsidR="00FB220F" w:rsidRPr="00C94100" w:rsidRDefault="00FB220F" w:rsidP="00074D6E">
            <w:pPr>
              <w:jc w:val="center"/>
              <w:rPr>
                <w:sz w:val="20"/>
                <w:szCs w:val="20"/>
              </w:rPr>
            </w:pPr>
          </w:p>
        </w:tc>
        <w:tc>
          <w:tcPr>
            <w:tcW w:w="2382" w:type="dxa"/>
            <w:vAlign w:val="center"/>
          </w:tcPr>
          <w:p w:rsidR="00FB220F" w:rsidRPr="00FB220F" w:rsidRDefault="00FB220F"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166"/>
            </w:tblGrid>
            <w:tr w:rsidR="00FB220F" w:rsidRPr="00FB220F">
              <w:trPr>
                <w:trHeight w:val="536"/>
              </w:trPr>
              <w:tc>
                <w:tcPr>
                  <w:tcW w:w="0" w:type="auto"/>
                </w:tcPr>
                <w:p w:rsidR="00FB220F" w:rsidRPr="00FB220F" w:rsidRDefault="00FB220F"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FB220F">
                    <w:rPr>
                      <w:rFonts w:ascii="Garamond" w:eastAsiaTheme="minorHAnsi" w:hAnsi="Garamond" w:cs="Garamond"/>
                      <w:color w:val="000000"/>
                      <w:sz w:val="20"/>
                      <w:szCs w:val="20"/>
                      <w:lang w:eastAsia="en-US"/>
                    </w:rPr>
                    <w:t>Soggetto della SA deputato alla stipula del contratto</w:t>
                  </w:r>
                </w:p>
              </w:tc>
            </w:tr>
          </w:tbl>
          <w:p w:rsidR="00FB220F" w:rsidRPr="00C94100" w:rsidRDefault="00FB220F" w:rsidP="00074D6E">
            <w:pPr>
              <w:jc w:val="center"/>
              <w:rPr>
                <w:sz w:val="20"/>
                <w:szCs w:val="20"/>
              </w:rPr>
            </w:pPr>
          </w:p>
        </w:tc>
        <w:tc>
          <w:tcPr>
            <w:tcW w:w="5307" w:type="dxa"/>
            <w:vAlign w:val="center"/>
          </w:tcPr>
          <w:p w:rsidR="00FB220F" w:rsidRPr="00FB220F" w:rsidRDefault="00FB220F"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FB220F" w:rsidRPr="00FB220F">
              <w:trPr>
                <w:trHeight w:val="536"/>
              </w:trPr>
              <w:tc>
                <w:tcPr>
                  <w:tcW w:w="0" w:type="auto"/>
                </w:tcPr>
                <w:p w:rsidR="00FB220F" w:rsidRPr="00FB220F" w:rsidRDefault="00FB220F"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FB220F">
                    <w:rPr>
                      <w:rFonts w:ascii="Garamond" w:eastAsiaTheme="minorHAnsi" w:hAnsi="Garamond" w:cs="Garamond"/>
                      <w:color w:val="000000"/>
                      <w:sz w:val="20"/>
                      <w:szCs w:val="20"/>
                      <w:lang w:eastAsia="en-US"/>
                    </w:rPr>
                    <w:t>Modifica delle previsioni contrattuali poste a base di gara a vantaggio dell’aggiudicatario</w:t>
                  </w:r>
                </w:p>
              </w:tc>
            </w:tr>
          </w:tbl>
          <w:p w:rsidR="00FB220F" w:rsidRPr="00C94100" w:rsidRDefault="00FB220F" w:rsidP="00074D6E">
            <w:pPr>
              <w:jc w:val="center"/>
              <w:rPr>
                <w:sz w:val="20"/>
                <w:szCs w:val="20"/>
              </w:rPr>
            </w:pPr>
          </w:p>
        </w:tc>
        <w:tc>
          <w:tcPr>
            <w:tcW w:w="1216" w:type="dxa"/>
            <w:vAlign w:val="center"/>
          </w:tcPr>
          <w:p w:rsidR="00FB220F" w:rsidRDefault="006935C2" w:rsidP="00074D6E">
            <w:pPr>
              <w:jc w:val="center"/>
            </w:pPr>
            <w:r w:rsidRPr="006935C2">
              <w:rPr>
                <w:rFonts w:ascii="Garamond" w:hAnsi="Garamond"/>
                <w:sz w:val="20"/>
                <w:szCs w:val="20"/>
              </w:rPr>
              <w:t>Controllo ufficiale rogante</w:t>
            </w:r>
          </w:p>
        </w:tc>
      </w:tr>
      <w:tr w:rsidR="002F3DE5" w:rsidTr="006935C2">
        <w:trPr>
          <w:trHeight w:val="1493"/>
        </w:trPr>
        <w:tc>
          <w:tcPr>
            <w:tcW w:w="1665" w:type="dxa"/>
            <w:vMerge w:val="restart"/>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449"/>
            </w:tblGrid>
            <w:tr w:rsidR="002F3DE5" w:rsidRPr="002F3DE5">
              <w:trPr>
                <w:trHeight w:val="551"/>
              </w:trPr>
              <w:tc>
                <w:tcPr>
                  <w:tcW w:w="0" w:type="auto"/>
                </w:tcPr>
                <w:p w:rsidR="002F3DE5" w:rsidRPr="002F3DE5" w:rsidRDefault="002F3DE5"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Esecuzione del contratto</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3933"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10"/>
            </w:tblGrid>
            <w:tr w:rsidR="00C94100" w:rsidRPr="00C94100">
              <w:trPr>
                <w:trHeight w:val="551"/>
              </w:trPr>
              <w:tc>
                <w:tcPr>
                  <w:tcW w:w="0" w:type="auto"/>
                </w:tcPr>
                <w:p w:rsidR="00C94100" w:rsidRPr="00C94100" w:rsidRDefault="00C94100"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t>Nomina direttore lavori/direttore esecuzione</w:t>
                  </w:r>
                </w:p>
              </w:tc>
            </w:tr>
            <w:tr w:rsidR="00C94100" w:rsidRPr="00C94100">
              <w:trPr>
                <w:trHeight w:val="852"/>
              </w:trPr>
              <w:tc>
                <w:tcPr>
                  <w:tcW w:w="0" w:type="auto"/>
                </w:tcPr>
                <w:p w:rsidR="00C94100" w:rsidRPr="00C94100" w:rsidRDefault="00C94100"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p>
              </w:tc>
            </w:tr>
          </w:tbl>
          <w:p w:rsidR="002F3DE5" w:rsidRPr="00C94100" w:rsidRDefault="002F3DE5" w:rsidP="00074D6E">
            <w:pPr>
              <w:jc w:val="center"/>
              <w:rPr>
                <w:sz w:val="20"/>
                <w:szCs w:val="20"/>
              </w:rPr>
            </w:pPr>
          </w:p>
        </w:tc>
        <w:tc>
          <w:tcPr>
            <w:tcW w:w="2382"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166"/>
            </w:tblGrid>
            <w:tr w:rsidR="00C94100" w:rsidRPr="00C94100">
              <w:trPr>
                <w:trHeight w:val="551"/>
              </w:trPr>
              <w:tc>
                <w:tcPr>
                  <w:tcW w:w="0" w:type="auto"/>
                </w:tcPr>
                <w:p w:rsidR="00C94100" w:rsidRPr="00C94100" w:rsidRDefault="00C94100"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t>RUP/Organo della SA deputato alla nomina</w:t>
                  </w:r>
                </w:p>
              </w:tc>
            </w:tr>
          </w:tbl>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22"/>
            </w:tblGrid>
            <w:tr w:rsidR="00C94100" w:rsidRPr="00C94100">
              <w:trPr>
                <w:trHeight w:val="551"/>
              </w:trPr>
              <w:tc>
                <w:tcPr>
                  <w:tcW w:w="0" w:type="auto"/>
                </w:tcPr>
                <w:p w:rsidR="00C94100" w:rsidRPr="00C94100" w:rsidRDefault="00C94100"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p>
              </w:tc>
            </w:tr>
          </w:tbl>
          <w:p w:rsidR="002F3DE5" w:rsidRPr="00C94100" w:rsidRDefault="002F3DE5" w:rsidP="00074D6E">
            <w:pPr>
              <w:jc w:val="center"/>
              <w:rPr>
                <w:sz w:val="20"/>
                <w:szCs w:val="20"/>
              </w:rPr>
            </w:pPr>
          </w:p>
        </w:tc>
        <w:tc>
          <w:tcPr>
            <w:tcW w:w="5307"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C94100" w:rsidRPr="00C94100">
              <w:trPr>
                <w:trHeight w:val="851"/>
              </w:trPr>
              <w:tc>
                <w:tcPr>
                  <w:tcW w:w="0" w:type="auto"/>
                </w:tcPr>
                <w:p w:rsidR="00C94100" w:rsidRPr="00C94100" w:rsidRDefault="00C94100"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t>Nomina di un soggetto compiacente per una verifica sull’esecuzione del contratto meno incisiva</w:t>
                  </w:r>
                </w:p>
              </w:tc>
            </w:tr>
          </w:tbl>
          <w:p w:rsidR="002F3DE5" w:rsidRPr="00C94100" w:rsidRDefault="002F3DE5" w:rsidP="00074D6E">
            <w:pPr>
              <w:jc w:val="center"/>
              <w:rPr>
                <w:sz w:val="20"/>
                <w:szCs w:val="20"/>
              </w:rPr>
            </w:pPr>
          </w:p>
        </w:tc>
        <w:tc>
          <w:tcPr>
            <w:tcW w:w="1216" w:type="dxa"/>
            <w:vAlign w:val="center"/>
          </w:tcPr>
          <w:p w:rsidR="002F3DE5" w:rsidRPr="00E80B88" w:rsidRDefault="00E80B88" w:rsidP="00E80B88">
            <w:pPr>
              <w:jc w:val="both"/>
              <w:rPr>
                <w:rFonts w:ascii="Garamond" w:hAnsi="Garamond"/>
              </w:rPr>
            </w:pPr>
            <w:r w:rsidRPr="00E80B88">
              <w:rPr>
                <w:rFonts w:ascii="Garamond" w:hAnsi="Garamond"/>
                <w:sz w:val="20"/>
                <w:szCs w:val="20"/>
              </w:rPr>
              <w:t>Utilizzo Albo dei Professionisti Tecnici</w:t>
            </w:r>
          </w:p>
        </w:tc>
      </w:tr>
      <w:tr w:rsidR="002F3DE5" w:rsidTr="006935C2">
        <w:tc>
          <w:tcPr>
            <w:tcW w:w="1665" w:type="dxa"/>
            <w:vMerge/>
            <w:vAlign w:val="center"/>
          </w:tcPr>
          <w:p w:rsidR="002F3DE5" w:rsidRPr="00C94100" w:rsidRDefault="002F3DE5" w:rsidP="00074D6E">
            <w:pPr>
              <w:jc w:val="center"/>
              <w:rPr>
                <w:sz w:val="20"/>
                <w:szCs w:val="20"/>
              </w:rPr>
            </w:pPr>
          </w:p>
        </w:tc>
        <w:tc>
          <w:tcPr>
            <w:tcW w:w="3933" w:type="dxa"/>
            <w:vAlign w:val="center"/>
          </w:tcPr>
          <w:p w:rsidR="002F3DE5" w:rsidRPr="00C94100" w:rsidRDefault="00C94100" w:rsidP="00074D6E">
            <w:pPr>
              <w:jc w:val="center"/>
              <w:rPr>
                <w:sz w:val="20"/>
                <w:szCs w:val="20"/>
              </w:rPr>
            </w:pPr>
            <w:r w:rsidRPr="00C94100">
              <w:rPr>
                <w:rFonts w:ascii="Garamond" w:eastAsiaTheme="minorHAnsi" w:hAnsi="Garamond" w:cs="Garamond"/>
                <w:color w:val="000000"/>
                <w:sz w:val="20"/>
                <w:szCs w:val="20"/>
                <w:lang w:eastAsia="en-US"/>
              </w:rPr>
              <w:t>Nomina coordinatore in materia di sicurezza e salute durante l’esecuzione dei lavori</w:t>
            </w:r>
          </w:p>
        </w:tc>
        <w:tc>
          <w:tcPr>
            <w:tcW w:w="2382" w:type="dxa"/>
            <w:vAlign w:val="center"/>
          </w:tcPr>
          <w:p w:rsidR="002F3DE5" w:rsidRPr="00C94100" w:rsidRDefault="00C94100" w:rsidP="00074D6E">
            <w:pPr>
              <w:jc w:val="center"/>
              <w:rPr>
                <w:sz w:val="20"/>
                <w:szCs w:val="20"/>
              </w:rPr>
            </w:pPr>
            <w:r w:rsidRPr="00C94100">
              <w:rPr>
                <w:rFonts w:ascii="Garamond" w:eastAsiaTheme="minorHAnsi" w:hAnsi="Garamond" w:cs="Garamond"/>
                <w:color w:val="000000"/>
                <w:sz w:val="20"/>
                <w:szCs w:val="20"/>
                <w:lang w:eastAsia="en-US"/>
              </w:rPr>
              <w:t>RUP/Organo della SA deputato alla nomina</w:t>
            </w:r>
          </w:p>
        </w:tc>
        <w:tc>
          <w:tcPr>
            <w:tcW w:w="5307" w:type="dxa"/>
            <w:vAlign w:val="center"/>
          </w:tcPr>
          <w:p w:rsidR="002F3DE5" w:rsidRPr="00C94100" w:rsidRDefault="00C94100" w:rsidP="00074D6E">
            <w:pPr>
              <w:jc w:val="center"/>
              <w:rPr>
                <w:sz w:val="20"/>
                <w:szCs w:val="20"/>
              </w:rPr>
            </w:pPr>
            <w:r w:rsidRPr="00C94100">
              <w:rPr>
                <w:rFonts w:ascii="Garamond" w:eastAsiaTheme="minorHAnsi" w:hAnsi="Garamond" w:cs="Garamond"/>
                <w:color w:val="000000"/>
                <w:sz w:val="20"/>
                <w:szCs w:val="20"/>
                <w:lang w:eastAsia="en-US"/>
              </w:rPr>
              <w:t>Nomina di un soggetto compiacente per una verifica del rispetto delle previsioni del PSC e delle prescrizioni di legge in materia di sicurezza meno incisiva</w:t>
            </w:r>
          </w:p>
        </w:tc>
        <w:tc>
          <w:tcPr>
            <w:tcW w:w="1216" w:type="dxa"/>
            <w:vAlign w:val="center"/>
          </w:tcPr>
          <w:p w:rsidR="002F3DE5" w:rsidRPr="00E80B88" w:rsidRDefault="00E80B88" w:rsidP="00E80B88">
            <w:pPr>
              <w:jc w:val="both"/>
              <w:rPr>
                <w:rFonts w:ascii="Garamond" w:hAnsi="Garamond"/>
              </w:rPr>
            </w:pPr>
            <w:r w:rsidRPr="00E80B88">
              <w:rPr>
                <w:rFonts w:ascii="Garamond" w:hAnsi="Garamond"/>
                <w:sz w:val="20"/>
                <w:szCs w:val="20"/>
              </w:rPr>
              <w:t>Utilizzo Albo dei Professionisti Tecnici</w:t>
            </w:r>
          </w:p>
        </w:tc>
      </w:tr>
      <w:tr w:rsidR="00C94100" w:rsidTr="006935C2">
        <w:tc>
          <w:tcPr>
            <w:tcW w:w="1665" w:type="dxa"/>
            <w:vMerge/>
            <w:vAlign w:val="center"/>
          </w:tcPr>
          <w:p w:rsidR="00C94100" w:rsidRPr="00C94100" w:rsidRDefault="00C94100" w:rsidP="00074D6E">
            <w:pPr>
              <w:jc w:val="center"/>
              <w:rPr>
                <w:sz w:val="20"/>
                <w:szCs w:val="20"/>
              </w:rPr>
            </w:pPr>
          </w:p>
        </w:tc>
        <w:tc>
          <w:tcPr>
            <w:tcW w:w="3933"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17"/>
            </w:tblGrid>
            <w:tr w:rsidR="00C94100" w:rsidRPr="00C94100" w:rsidTr="00E4317C">
              <w:trPr>
                <w:trHeight w:val="551"/>
              </w:trPr>
              <w:tc>
                <w:tcPr>
                  <w:tcW w:w="0" w:type="auto"/>
                </w:tcPr>
                <w:p w:rsidR="00C94100" w:rsidRPr="00C94100" w:rsidRDefault="00C94100"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lastRenderedPageBreak/>
                    <w:t xml:space="preserve">Approvazione modifiche/varianti in </w:t>
                  </w:r>
                  <w:proofErr w:type="spellStart"/>
                  <w:r w:rsidRPr="00C94100">
                    <w:rPr>
                      <w:rFonts w:ascii="Garamond" w:eastAsiaTheme="minorHAnsi" w:hAnsi="Garamond" w:cs="Garamond"/>
                      <w:color w:val="000000"/>
                      <w:sz w:val="20"/>
                      <w:szCs w:val="20"/>
                      <w:lang w:eastAsia="en-US"/>
                    </w:rPr>
                    <w:t>c.o.</w:t>
                  </w:r>
                  <w:proofErr w:type="spellEnd"/>
                  <w:r w:rsidRPr="00C94100">
                    <w:rPr>
                      <w:rFonts w:ascii="Garamond" w:eastAsiaTheme="minorHAnsi" w:hAnsi="Garamond" w:cs="Garamond"/>
                      <w:color w:val="000000"/>
                      <w:sz w:val="20"/>
                      <w:szCs w:val="20"/>
                      <w:lang w:eastAsia="en-US"/>
                    </w:rPr>
                    <w:t xml:space="preserve"> al contratto</w:t>
                  </w:r>
                </w:p>
              </w:tc>
            </w:tr>
          </w:tbl>
          <w:p w:rsidR="00C94100" w:rsidRPr="00C94100" w:rsidRDefault="00C94100" w:rsidP="00074D6E">
            <w:pPr>
              <w:autoSpaceDE w:val="0"/>
              <w:autoSpaceDN w:val="0"/>
              <w:adjustRightInd w:val="0"/>
              <w:jc w:val="center"/>
              <w:rPr>
                <w:rFonts w:ascii="Garamond" w:eastAsiaTheme="minorHAnsi" w:hAnsi="Garamond"/>
                <w:sz w:val="20"/>
                <w:szCs w:val="20"/>
                <w:lang w:eastAsia="en-US"/>
              </w:rPr>
            </w:pPr>
          </w:p>
          <w:p w:rsidR="00C94100" w:rsidRPr="00C94100" w:rsidRDefault="00C94100" w:rsidP="00074D6E">
            <w:pPr>
              <w:jc w:val="center"/>
              <w:rPr>
                <w:sz w:val="20"/>
                <w:szCs w:val="20"/>
              </w:rPr>
            </w:pPr>
          </w:p>
        </w:tc>
        <w:tc>
          <w:tcPr>
            <w:tcW w:w="2382"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96"/>
            </w:tblGrid>
            <w:tr w:rsidR="00C94100" w:rsidRPr="00C94100" w:rsidTr="00E4317C">
              <w:trPr>
                <w:trHeight w:val="221"/>
              </w:trPr>
              <w:tc>
                <w:tcPr>
                  <w:tcW w:w="0" w:type="auto"/>
                </w:tcPr>
                <w:p w:rsidR="00C94100" w:rsidRPr="00C94100" w:rsidRDefault="00C94100"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lastRenderedPageBreak/>
                    <w:t>RUP</w:t>
                  </w:r>
                </w:p>
              </w:tc>
            </w:tr>
          </w:tbl>
          <w:p w:rsidR="00C94100" w:rsidRPr="00C94100" w:rsidRDefault="00C94100" w:rsidP="00074D6E">
            <w:pPr>
              <w:autoSpaceDE w:val="0"/>
              <w:autoSpaceDN w:val="0"/>
              <w:adjustRightInd w:val="0"/>
              <w:jc w:val="center"/>
              <w:rPr>
                <w:rFonts w:ascii="Garamond" w:eastAsiaTheme="minorHAnsi" w:hAnsi="Garamond"/>
                <w:sz w:val="20"/>
                <w:szCs w:val="20"/>
                <w:lang w:eastAsia="en-US"/>
              </w:rPr>
            </w:pPr>
          </w:p>
          <w:p w:rsidR="00C94100" w:rsidRPr="00C94100" w:rsidRDefault="00C94100" w:rsidP="00074D6E">
            <w:pPr>
              <w:jc w:val="center"/>
              <w:rPr>
                <w:sz w:val="20"/>
                <w:szCs w:val="20"/>
              </w:rPr>
            </w:pPr>
          </w:p>
        </w:tc>
        <w:tc>
          <w:tcPr>
            <w:tcW w:w="5307"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C94100" w:rsidRPr="00C94100" w:rsidTr="00E4317C">
              <w:trPr>
                <w:trHeight w:val="852"/>
              </w:trPr>
              <w:tc>
                <w:tcPr>
                  <w:tcW w:w="0" w:type="auto"/>
                </w:tcPr>
                <w:p w:rsidR="00C94100" w:rsidRPr="00C94100" w:rsidRDefault="00C94100" w:rsidP="00EC7621">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lastRenderedPageBreak/>
                    <w:t xml:space="preserve">Ricorso a modifiche e/o varianti in </w:t>
                  </w:r>
                  <w:proofErr w:type="spellStart"/>
                  <w:r w:rsidRPr="00C94100">
                    <w:rPr>
                      <w:rFonts w:ascii="Garamond" w:eastAsiaTheme="minorHAnsi" w:hAnsi="Garamond" w:cs="Garamond"/>
                      <w:color w:val="000000"/>
                      <w:sz w:val="20"/>
                      <w:szCs w:val="20"/>
                      <w:lang w:eastAsia="en-US"/>
                    </w:rPr>
                    <w:t>c.o.</w:t>
                  </w:r>
                  <w:proofErr w:type="spellEnd"/>
                  <w:r w:rsidRPr="00C94100">
                    <w:rPr>
                      <w:rFonts w:ascii="Garamond" w:eastAsiaTheme="minorHAnsi" w:hAnsi="Garamond" w:cs="Garamond"/>
                      <w:color w:val="000000"/>
                      <w:sz w:val="20"/>
                      <w:szCs w:val="20"/>
                      <w:lang w:eastAsia="en-US"/>
                    </w:rPr>
                    <w:t xml:space="preserve"> in assenza dei presupposti di legge con l’intento di favorire l’esecutore del contratto</w:t>
                  </w:r>
                </w:p>
              </w:tc>
            </w:tr>
          </w:tbl>
          <w:p w:rsidR="00C94100" w:rsidRPr="00C94100" w:rsidRDefault="00C94100" w:rsidP="00074D6E">
            <w:pPr>
              <w:autoSpaceDE w:val="0"/>
              <w:autoSpaceDN w:val="0"/>
              <w:adjustRightInd w:val="0"/>
              <w:jc w:val="center"/>
              <w:rPr>
                <w:rFonts w:ascii="Garamond" w:eastAsiaTheme="minorHAnsi" w:hAnsi="Garamond"/>
                <w:sz w:val="20"/>
                <w:szCs w:val="20"/>
                <w:lang w:eastAsia="en-US"/>
              </w:rPr>
            </w:pPr>
          </w:p>
          <w:p w:rsidR="00C94100" w:rsidRPr="00C94100" w:rsidRDefault="00C94100" w:rsidP="00074D6E">
            <w:pPr>
              <w:jc w:val="center"/>
              <w:rPr>
                <w:sz w:val="20"/>
                <w:szCs w:val="20"/>
              </w:rPr>
            </w:pPr>
          </w:p>
        </w:tc>
        <w:tc>
          <w:tcPr>
            <w:tcW w:w="1216" w:type="dxa"/>
            <w:vAlign w:val="center"/>
          </w:tcPr>
          <w:p w:rsidR="00C94100" w:rsidRPr="00B97AE3" w:rsidRDefault="00B97AE3" w:rsidP="00074D6E">
            <w:pPr>
              <w:jc w:val="center"/>
              <w:rPr>
                <w:rFonts w:ascii="Garamond" w:hAnsi="Garamond"/>
              </w:rPr>
            </w:pPr>
            <w:r w:rsidRPr="00B97AE3">
              <w:rPr>
                <w:rFonts w:ascii="Garamond" w:hAnsi="Garamond"/>
                <w:sz w:val="20"/>
                <w:szCs w:val="20"/>
              </w:rPr>
              <w:lastRenderedPageBreak/>
              <w:t xml:space="preserve">Applicazione </w:t>
            </w:r>
            <w:r w:rsidRPr="00B97AE3">
              <w:rPr>
                <w:rFonts w:ascii="Garamond" w:hAnsi="Garamond"/>
                <w:sz w:val="20"/>
                <w:szCs w:val="20"/>
              </w:rPr>
              <w:lastRenderedPageBreak/>
              <w:t>misura n.</w:t>
            </w:r>
            <w:r>
              <w:rPr>
                <w:rFonts w:ascii="Garamond" w:hAnsi="Garamond"/>
                <w:sz w:val="20"/>
                <w:szCs w:val="20"/>
              </w:rPr>
              <w:t>11</w:t>
            </w:r>
            <w:r w:rsidRPr="00B97AE3">
              <w:rPr>
                <w:rFonts w:ascii="Garamond" w:hAnsi="Garamond"/>
                <w:sz w:val="20"/>
                <w:szCs w:val="20"/>
              </w:rPr>
              <w:t xml:space="preserve"> PTPCT 2019/2021</w:t>
            </w:r>
          </w:p>
        </w:tc>
      </w:tr>
    </w:tbl>
    <w:tbl>
      <w:tblPr>
        <w:tblStyle w:val="Grigliatabella"/>
        <w:tblW w:w="0" w:type="auto"/>
        <w:tblLayout w:type="fixed"/>
        <w:tblLook w:val="04A0"/>
      </w:tblPr>
      <w:tblGrid>
        <w:gridCol w:w="1101"/>
        <w:gridCol w:w="1701"/>
        <w:gridCol w:w="4252"/>
        <w:gridCol w:w="5528"/>
        <w:gridCol w:w="1921"/>
      </w:tblGrid>
      <w:tr w:rsidR="00413CAC" w:rsidTr="00413CAC">
        <w:tc>
          <w:tcPr>
            <w:tcW w:w="1101" w:type="dxa"/>
            <w:vMerge w:val="restart"/>
          </w:tcPr>
          <w:p w:rsidR="00413CAC" w:rsidRDefault="00413CAC" w:rsidP="00074D6E">
            <w:pPr>
              <w:jc w:val="center"/>
            </w:pPr>
          </w:p>
        </w:tc>
        <w:tc>
          <w:tcPr>
            <w:tcW w:w="1701"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1436"/>
            </w:tblGrid>
            <w:tr w:rsidR="00413CAC" w:rsidRPr="00413CAC" w:rsidTr="00413CAC">
              <w:trPr>
                <w:trHeight w:val="221"/>
              </w:trPr>
              <w:tc>
                <w:tcPr>
                  <w:tcW w:w="143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Autorizzazione al subappalto</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4252"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96"/>
            </w:tblGrid>
            <w:tr w:rsidR="00413CAC" w:rsidRPr="00413CAC" w:rsidTr="00413CAC">
              <w:trPr>
                <w:trHeight w:val="221"/>
              </w:trPr>
              <w:tc>
                <w:tcPr>
                  <w:tcW w:w="59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RUP</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5528"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312"/>
            </w:tblGrid>
            <w:tr w:rsidR="00413CAC" w:rsidRPr="00413CAC" w:rsidTr="00413CAC">
              <w:trPr>
                <w:trHeight w:val="1483"/>
              </w:trPr>
              <w:tc>
                <w:tcPr>
                  <w:tcW w:w="531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 xml:space="preserve">Rilascio autorizzazione al subappalto nei confronti di un </w:t>
                  </w:r>
                  <w:proofErr w:type="spellStart"/>
                  <w:r w:rsidRPr="00413CAC">
                    <w:rPr>
                      <w:rFonts w:ascii="Garamond" w:eastAsiaTheme="minorHAnsi" w:hAnsi="Garamond" w:cs="Garamond"/>
                      <w:color w:val="000000"/>
                      <w:sz w:val="20"/>
                      <w:szCs w:val="20"/>
                      <w:lang w:eastAsia="en-US"/>
                    </w:rPr>
                    <w:t>o.e.</w:t>
                  </w:r>
                  <w:proofErr w:type="spellEnd"/>
                  <w:r w:rsidRPr="00413CAC">
                    <w:rPr>
                      <w:rFonts w:ascii="Garamond" w:eastAsiaTheme="minorHAnsi" w:hAnsi="Garamond" w:cs="Garamond"/>
                      <w:color w:val="000000"/>
                      <w:sz w:val="20"/>
                      <w:szCs w:val="20"/>
                      <w:lang w:eastAsia="en-US"/>
                    </w:rPr>
                    <w:t xml:space="preserve"> non in possesso dei requisiti di legge o per importi che comportano il superamento della quota limite del 30% dell’importo del contratto</w:t>
                  </w:r>
                </w:p>
              </w:tc>
            </w:tr>
          </w:tbl>
          <w:p w:rsidR="00413CAC" w:rsidRPr="00413CAC" w:rsidRDefault="00413CAC" w:rsidP="00074D6E">
            <w:pPr>
              <w:jc w:val="center"/>
              <w:rPr>
                <w:sz w:val="20"/>
                <w:szCs w:val="20"/>
              </w:rPr>
            </w:pPr>
          </w:p>
        </w:tc>
        <w:tc>
          <w:tcPr>
            <w:tcW w:w="1921" w:type="dxa"/>
          </w:tcPr>
          <w:p w:rsidR="00413CAC" w:rsidRDefault="00413CAC" w:rsidP="00074D6E">
            <w:pPr>
              <w:jc w:val="center"/>
              <w:rPr>
                <w:sz w:val="20"/>
                <w:szCs w:val="20"/>
              </w:rPr>
            </w:pPr>
          </w:p>
          <w:p w:rsidR="00085AA1" w:rsidRPr="00085AA1" w:rsidRDefault="00085AA1" w:rsidP="00074D6E">
            <w:pPr>
              <w:jc w:val="center"/>
              <w:rPr>
                <w:rFonts w:ascii="Garamond" w:hAnsi="Garamond"/>
                <w:sz w:val="20"/>
                <w:szCs w:val="20"/>
              </w:rPr>
            </w:pPr>
            <w:r w:rsidRPr="00085AA1">
              <w:rPr>
                <w:rFonts w:ascii="Garamond" w:hAnsi="Garamond"/>
                <w:sz w:val="20"/>
                <w:szCs w:val="20"/>
              </w:rPr>
              <w:t>Controllo Dirigente</w:t>
            </w:r>
          </w:p>
        </w:tc>
      </w:tr>
      <w:tr w:rsidR="00413CAC" w:rsidTr="00413CAC">
        <w:tc>
          <w:tcPr>
            <w:tcW w:w="1101" w:type="dxa"/>
            <w:vMerge/>
          </w:tcPr>
          <w:p w:rsidR="00413CAC" w:rsidRDefault="00413CAC" w:rsidP="00074D6E">
            <w:pPr>
              <w:jc w:val="center"/>
            </w:pPr>
          </w:p>
        </w:tc>
        <w:tc>
          <w:tcPr>
            <w:tcW w:w="1701"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1436"/>
            </w:tblGrid>
            <w:tr w:rsidR="00413CAC" w:rsidRPr="00413CAC" w:rsidTr="00413CAC">
              <w:trPr>
                <w:trHeight w:val="221"/>
              </w:trPr>
              <w:tc>
                <w:tcPr>
                  <w:tcW w:w="143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Verifica esecuzione contratto</w:t>
                  </w:r>
                </w:p>
              </w:tc>
            </w:tr>
          </w:tbl>
          <w:p w:rsidR="00413CAC" w:rsidRPr="00413CAC" w:rsidRDefault="00413CAC" w:rsidP="00074D6E">
            <w:pPr>
              <w:jc w:val="center"/>
              <w:rPr>
                <w:sz w:val="20"/>
                <w:szCs w:val="20"/>
              </w:rPr>
            </w:pPr>
          </w:p>
        </w:tc>
        <w:tc>
          <w:tcPr>
            <w:tcW w:w="4252"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3608"/>
            </w:tblGrid>
            <w:tr w:rsidR="00413CAC" w:rsidRPr="00413CAC" w:rsidTr="00413CAC">
              <w:trPr>
                <w:trHeight w:val="536"/>
              </w:trPr>
              <w:tc>
                <w:tcPr>
                  <w:tcW w:w="3608"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RUP/Direttore lavori/Direttore esecuzione</w:t>
                  </w:r>
                </w:p>
              </w:tc>
            </w:tr>
          </w:tbl>
          <w:p w:rsidR="00413CAC" w:rsidRPr="00413CAC" w:rsidRDefault="00413CAC" w:rsidP="00074D6E">
            <w:pPr>
              <w:jc w:val="center"/>
              <w:rPr>
                <w:sz w:val="20"/>
                <w:szCs w:val="20"/>
              </w:rPr>
            </w:pPr>
          </w:p>
        </w:tc>
        <w:tc>
          <w:tcPr>
            <w:tcW w:w="5528"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312"/>
            </w:tblGrid>
            <w:tr w:rsidR="00413CAC" w:rsidRPr="00413CAC" w:rsidTr="00413CAC">
              <w:trPr>
                <w:trHeight w:val="2098"/>
              </w:trPr>
              <w:tc>
                <w:tcPr>
                  <w:tcW w:w="531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Mancata e/o incompleta verifica del corretto adempimento delle prestazioni contrattuali e del rispetto delle tempistiche fissate nel corretto; non applicazione di penali e/o sanzioni per il mancato rispetto dei tempi contrattuali e/o per prestazioni difformi da quelle previste in contratto.</w:t>
                  </w:r>
                </w:p>
              </w:tc>
            </w:tr>
          </w:tbl>
          <w:p w:rsidR="00413CAC" w:rsidRPr="00413CAC" w:rsidRDefault="00413CAC" w:rsidP="00074D6E">
            <w:pPr>
              <w:jc w:val="center"/>
              <w:rPr>
                <w:sz w:val="20"/>
                <w:szCs w:val="20"/>
              </w:rPr>
            </w:pPr>
          </w:p>
        </w:tc>
        <w:tc>
          <w:tcPr>
            <w:tcW w:w="1921" w:type="dxa"/>
          </w:tcPr>
          <w:p w:rsidR="00413CAC" w:rsidRDefault="00413CAC" w:rsidP="00074D6E">
            <w:pPr>
              <w:jc w:val="center"/>
              <w:rPr>
                <w:sz w:val="20"/>
                <w:szCs w:val="20"/>
              </w:rPr>
            </w:pPr>
          </w:p>
          <w:p w:rsidR="00085AA1" w:rsidRPr="00085AA1" w:rsidRDefault="00085AA1" w:rsidP="00074D6E">
            <w:pPr>
              <w:jc w:val="center"/>
              <w:rPr>
                <w:rFonts w:ascii="Garamond" w:hAnsi="Garamond"/>
                <w:sz w:val="20"/>
                <w:szCs w:val="20"/>
              </w:rPr>
            </w:pPr>
            <w:r w:rsidRPr="00085AA1">
              <w:rPr>
                <w:rFonts w:ascii="Garamond" w:hAnsi="Garamond"/>
                <w:sz w:val="20"/>
                <w:szCs w:val="20"/>
              </w:rPr>
              <w:t>Controllo Dirigente</w:t>
            </w:r>
          </w:p>
        </w:tc>
      </w:tr>
      <w:tr w:rsidR="00413CAC" w:rsidTr="00413CAC">
        <w:tc>
          <w:tcPr>
            <w:tcW w:w="1101" w:type="dxa"/>
            <w:vMerge/>
          </w:tcPr>
          <w:p w:rsidR="00413CAC" w:rsidRDefault="00413CAC" w:rsidP="00074D6E">
            <w:pPr>
              <w:jc w:val="center"/>
            </w:pPr>
          </w:p>
        </w:tc>
        <w:tc>
          <w:tcPr>
            <w:tcW w:w="1701"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1436"/>
            </w:tblGrid>
            <w:tr w:rsidR="00413CAC" w:rsidRPr="00413CAC" w:rsidTr="00413CAC">
              <w:trPr>
                <w:trHeight w:val="221"/>
              </w:trPr>
              <w:tc>
                <w:tcPr>
                  <w:tcW w:w="143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Verifica in materia di sicurezza</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4252"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3299"/>
            </w:tblGrid>
            <w:tr w:rsidR="00413CAC" w:rsidRPr="00413CAC" w:rsidTr="00413CAC">
              <w:trPr>
                <w:trHeight w:val="551"/>
              </w:trPr>
              <w:tc>
                <w:tcPr>
                  <w:tcW w:w="3299"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Coordinatore per l’esecuzione dei lavori</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5528"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312"/>
            </w:tblGrid>
            <w:tr w:rsidR="00413CAC" w:rsidRPr="00413CAC" w:rsidTr="00413CAC">
              <w:trPr>
                <w:trHeight w:val="851"/>
              </w:trPr>
              <w:tc>
                <w:tcPr>
                  <w:tcW w:w="531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Mancata e/o incompleta verifica del rispetto delle previsioni del PSC e/o delle disposizioni di legge in materia di sicurezza.</w:t>
                  </w:r>
                </w:p>
              </w:tc>
            </w:tr>
          </w:tbl>
          <w:p w:rsidR="00413CAC" w:rsidRPr="00413CAC" w:rsidRDefault="00413CAC" w:rsidP="00074D6E">
            <w:pPr>
              <w:jc w:val="center"/>
              <w:rPr>
                <w:sz w:val="20"/>
                <w:szCs w:val="20"/>
              </w:rPr>
            </w:pPr>
          </w:p>
        </w:tc>
        <w:tc>
          <w:tcPr>
            <w:tcW w:w="1921" w:type="dxa"/>
          </w:tcPr>
          <w:p w:rsidR="00085AA1" w:rsidRDefault="00085AA1" w:rsidP="00074D6E">
            <w:pPr>
              <w:jc w:val="center"/>
              <w:rPr>
                <w:rFonts w:ascii="Garamond" w:hAnsi="Garamond"/>
                <w:sz w:val="20"/>
                <w:szCs w:val="20"/>
              </w:rPr>
            </w:pPr>
          </w:p>
          <w:p w:rsidR="00413CAC" w:rsidRPr="00413CAC" w:rsidRDefault="00085AA1" w:rsidP="00074D6E">
            <w:pPr>
              <w:jc w:val="center"/>
              <w:rPr>
                <w:sz w:val="20"/>
                <w:szCs w:val="20"/>
              </w:rPr>
            </w:pPr>
            <w:r w:rsidRPr="00085AA1">
              <w:rPr>
                <w:rFonts w:ascii="Garamond" w:hAnsi="Garamond"/>
                <w:sz w:val="20"/>
                <w:szCs w:val="20"/>
              </w:rPr>
              <w:t>Controllo Dirigente</w:t>
            </w:r>
          </w:p>
        </w:tc>
      </w:tr>
      <w:tr w:rsidR="00413CAC" w:rsidTr="00413CAC">
        <w:tc>
          <w:tcPr>
            <w:tcW w:w="1101" w:type="dxa"/>
            <w:vMerge/>
          </w:tcPr>
          <w:p w:rsidR="00413CAC" w:rsidRDefault="00413CAC" w:rsidP="00074D6E">
            <w:pPr>
              <w:jc w:val="center"/>
            </w:pPr>
          </w:p>
        </w:tc>
        <w:tc>
          <w:tcPr>
            <w:tcW w:w="1701"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1436"/>
            </w:tblGrid>
            <w:tr w:rsidR="00413CAC" w:rsidRPr="00413CAC" w:rsidTr="00413CAC">
              <w:trPr>
                <w:trHeight w:val="221"/>
              </w:trPr>
              <w:tc>
                <w:tcPr>
                  <w:tcW w:w="143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Gestione delle riserve</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4252"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4652"/>
            </w:tblGrid>
            <w:tr w:rsidR="00413CAC" w:rsidRPr="00413CAC" w:rsidTr="00413CAC">
              <w:trPr>
                <w:trHeight w:val="851"/>
              </w:trPr>
              <w:tc>
                <w:tcPr>
                  <w:tcW w:w="465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RUP/Direttore lavori/direttore esecuzione/Collaudatore/esperto accordo bonario</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5528"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312"/>
            </w:tblGrid>
            <w:tr w:rsidR="00413CAC" w:rsidRPr="00413CAC" w:rsidTr="00413CAC">
              <w:trPr>
                <w:trHeight w:val="851"/>
              </w:trPr>
              <w:tc>
                <w:tcPr>
                  <w:tcW w:w="531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Valutazione della fondatezza e dell’ammissibilità delle riserve, nonché quantificazione delle stesse, condotta al fine di favorire l’aggiudicatario</w:t>
                  </w:r>
                </w:p>
              </w:tc>
            </w:tr>
          </w:tbl>
          <w:p w:rsidR="00413CAC" w:rsidRPr="00413CAC" w:rsidRDefault="00413CAC" w:rsidP="00074D6E">
            <w:pPr>
              <w:jc w:val="center"/>
              <w:rPr>
                <w:sz w:val="20"/>
                <w:szCs w:val="20"/>
              </w:rPr>
            </w:pPr>
          </w:p>
        </w:tc>
        <w:tc>
          <w:tcPr>
            <w:tcW w:w="1921" w:type="dxa"/>
          </w:tcPr>
          <w:p w:rsidR="00085AA1" w:rsidRDefault="00085AA1" w:rsidP="00085AA1">
            <w:pPr>
              <w:jc w:val="center"/>
              <w:rPr>
                <w:rFonts w:ascii="Garamond" w:hAnsi="Garamond"/>
                <w:sz w:val="20"/>
                <w:szCs w:val="20"/>
              </w:rPr>
            </w:pPr>
          </w:p>
          <w:p w:rsidR="00413CAC" w:rsidRPr="00085AA1" w:rsidRDefault="00085AA1" w:rsidP="00085AA1">
            <w:pPr>
              <w:jc w:val="center"/>
              <w:rPr>
                <w:rFonts w:ascii="Garamond" w:hAnsi="Garamond"/>
                <w:sz w:val="20"/>
                <w:szCs w:val="20"/>
              </w:rPr>
            </w:pPr>
            <w:r w:rsidRPr="00085AA1">
              <w:rPr>
                <w:rFonts w:ascii="Garamond" w:hAnsi="Garamond"/>
                <w:sz w:val="20"/>
                <w:szCs w:val="20"/>
              </w:rPr>
              <w:t>Applicazione misura n.12 PTPCT 2019/2021</w:t>
            </w:r>
          </w:p>
        </w:tc>
      </w:tr>
      <w:tr w:rsidR="00413CAC" w:rsidTr="00413CAC">
        <w:tc>
          <w:tcPr>
            <w:tcW w:w="1101" w:type="dxa"/>
            <w:vMerge/>
          </w:tcPr>
          <w:p w:rsidR="00413CAC" w:rsidRDefault="00413CAC" w:rsidP="00074D6E">
            <w:pPr>
              <w:jc w:val="center"/>
            </w:pPr>
          </w:p>
        </w:tc>
        <w:tc>
          <w:tcPr>
            <w:tcW w:w="1701"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1436"/>
            </w:tblGrid>
            <w:tr w:rsidR="00413CAC" w:rsidRPr="00413CAC" w:rsidTr="00413CAC">
              <w:trPr>
                <w:trHeight w:val="221"/>
              </w:trPr>
              <w:tc>
                <w:tcPr>
                  <w:tcW w:w="143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Gestione arbitrato</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4252"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4652"/>
            </w:tblGrid>
            <w:tr w:rsidR="00413CAC" w:rsidRPr="00413CAC" w:rsidTr="00413CAC">
              <w:trPr>
                <w:trHeight w:val="866"/>
              </w:trPr>
              <w:tc>
                <w:tcPr>
                  <w:tcW w:w="465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Organo della SA deputato alla nomina/Arbitro dipendente pubblico</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5528"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312"/>
            </w:tblGrid>
            <w:tr w:rsidR="00413CAC" w:rsidRPr="00413CAC" w:rsidTr="00413CAC">
              <w:trPr>
                <w:trHeight w:val="1167"/>
              </w:trPr>
              <w:tc>
                <w:tcPr>
                  <w:tcW w:w="531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Nomina di un soggetto compiacente per favorire l’aggiudicatario; attività volta a non tutelare l’interesse della SA bensì quello dell’aggiudicatario.</w:t>
                  </w:r>
                </w:p>
              </w:tc>
            </w:tr>
          </w:tbl>
          <w:p w:rsidR="00413CAC" w:rsidRPr="00413CAC" w:rsidRDefault="00413CAC" w:rsidP="00074D6E">
            <w:pPr>
              <w:jc w:val="center"/>
              <w:rPr>
                <w:sz w:val="20"/>
                <w:szCs w:val="20"/>
              </w:rPr>
            </w:pPr>
          </w:p>
        </w:tc>
        <w:tc>
          <w:tcPr>
            <w:tcW w:w="1921" w:type="dxa"/>
          </w:tcPr>
          <w:p w:rsidR="00413CAC" w:rsidRDefault="00413CAC" w:rsidP="00074D6E">
            <w:pPr>
              <w:jc w:val="center"/>
              <w:rPr>
                <w:sz w:val="20"/>
                <w:szCs w:val="20"/>
              </w:rPr>
            </w:pPr>
          </w:p>
          <w:p w:rsidR="00085AA1" w:rsidRPr="00413CAC" w:rsidRDefault="00085AA1" w:rsidP="00074D6E">
            <w:pPr>
              <w:jc w:val="center"/>
              <w:rPr>
                <w:sz w:val="20"/>
                <w:szCs w:val="20"/>
              </w:rPr>
            </w:pPr>
            <w:r w:rsidRPr="00085AA1">
              <w:rPr>
                <w:rFonts w:ascii="Garamond" w:hAnsi="Garamond"/>
                <w:sz w:val="20"/>
                <w:szCs w:val="20"/>
              </w:rPr>
              <w:t>Applicazione misura n.12 PTPCT 2019/2021</w:t>
            </w:r>
          </w:p>
        </w:tc>
      </w:tr>
    </w:tbl>
    <w:p w:rsidR="002F3DE5" w:rsidRDefault="00C94100" w:rsidP="00074D6E">
      <w:pPr>
        <w:jc w:val="center"/>
      </w:pPr>
      <w:r>
        <w:lastRenderedPageBreak/>
        <w:br w:type="textWrapping" w:clear="all"/>
      </w:r>
    </w:p>
    <w:tbl>
      <w:tblPr>
        <w:tblStyle w:val="Grigliatabella"/>
        <w:tblW w:w="0" w:type="auto"/>
        <w:tblLook w:val="04A0"/>
      </w:tblPr>
      <w:tblGrid>
        <w:gridCol w:w="1809"/>
        <w:gridCol w:w="3961"/>
        <w:gridCol w:w="2885"/>
        <w:gridCol w:w="4069"/>
        <w:gridCol w:w="1703"/>
      </w:tblGrid>
      <w:tr w:rsidR="00194F24" w:rsidTr="00194F24">
        <w:tc>
          <w:tcPr>
            <w:tcW w:w="1809" w:type="dxa"/>
            <w:vMerge w:val="restart"/>
          </w:tcPr>
          <w:p w:rsidR="00194F24" w:rsidRPr="00194F24" w:rsidRDefault="00194F24" w:rsidP="00074D6E">
            <w:pPr>
              <w:jc w:val="center"/>
              <w:rPr>
                <w:sz w:val="20"/>
                <w:szCs w:val="20"/>
              </w:rPr>
            </w:pPr>
          </w:p>
        </w:tc>
        <w:tc>
          <w:tcPr>
            <w:tcW w:w="3961"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45"/>
            </w:tblGrid>
            <w:tr w:rsidR="00194F24" w:rsidRPr="00194F24">
              <w:trPr>
                <w:trHeight w:val="1167"/>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Nomina di un soggetto compiacente per favorire l’aggiudicatario; attività volta a non tutelare l’interesse della SA bensì quello dell’aggiudicatario.</w:t>
                  </w:r>
                </w:p>
              </w:tc>
            </w:tr>
          </w:tbl>
          <w:p w:rsidR="00194F24" w:rsidRPr="00194F24" w:rsidRDefault="00194F24" w:rsidP="00074D6E">
            <w:pPr>
              <w:jc w:val="center"/>
              <w:rPr>
                <w:sz w:val="20"/>
                <w:szCs w:val="20"/>
              </w:rPr>
            </w:pPr>
          </w:p>
        </w:tc>
        <w:tc>
          <w:tcPr>
            <w:tcW w:w="2885"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485"/>
            </w:tblGrid>
            <w:tr w:rsidR="00194F24" w:rsidRPr="00194F24">
              <w:trPr>
                <w:trHeight w:val="221"/>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Dirigente competente/RUP/</w:t>
                  </w:r>
                </w:p>
              </w:tc>
            </w:tr>
          </w:tbl>
          <w:p w:rsidR="00194F24" w:rsidRPr="00194F24" w:rsidRDefault="00194F24" w:rsidP="00074D6E">
            <w:pPr>
              <w:jc w:val="center"/>
              <w:rPr>
                <w:sz w:val="20"/>
                <w:szCs w:val="20"/>
              </w:rPr>
            </w:pPr>
          </w:p>
        </w:tc>
        <w:tc>
          <w:tcPr>
            <w:tcW w:w="4069"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853"/>
            </w:tblGrid>
            <w:tr w:rsidR="00194F24" w:rsidRPr="00194F24">
              <w:trPr>
                <w:trHeight w:val="2414"/>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Accesso alla transazione in assenza dei presupposti di legge o in caso di richieste pretestuose e/o inammissibili dell’aggiudicatario o quando lo stesso risulterebbe, con molta probabilità, soccombente in giudizio; adesione ad un accordo sfavorevole per la SA; mancata richiesta del parere dell’avvocatura/legale interno, qualora necessario.</w:t>
                  </w:r>
                </w:p>
              </w:tc>
            </w:tr>
          </w:tbl>
          <w:p w:rsidR="00194F24" w:rsidRPr="00194F24" w:rsidRDefault="00194F24" w:rsidP="00074D6E">
            <w:pPr>
              <w:jc w:val="center"/>
              <w:rPr>
                <w:sz w:val="20"/>
                <w:szCs w:val="20"/>
              </w:rPr>
            </w:pPr>
          </w:p>
        </w:tc>
        <w:tc>
          <w:tcPr>
            <w:tcW w:w="1703" w:type="dxa"/>
          </w:tcPr>
          <w:p w:rsidR="00085AA1" w:rsidRDefault="00085AA1" w:rsidP="00074D6E">
            <w:pPr>
              <w:jc w:val="center"/>
              <w:rPr>
                <w:rFonts w:ascii="Garamond" w:hAnsi="Garamond"/>
                <w:sz w:val="20"/>
                <w:szCs w:val="20"/>
              </w:rPr>
            </w:pPr>
          </w:p>
          <w:p w:rsidR="00194F24" w:rsidRPr="00194F24" w:rsidRDefault="00085AA1" w:rsidP="00074D6E">
            <w:pPr>
              <w:jc w:val="center"/>
              <w:rPr>
                <w:sz w:val="20"/>
                <w:szCs w:val="20"/>
              </w:rPr>
            </w:pPr>
            <w:r w:rsidRPr="00085AA1">
              <w:rPr>
                <w:rFonts w:ascii="Garamond" w:hAnsi="Garamond"/>
                <w:sz w:val="20"/>
                <w:szCs w:val="20"/>
              </w:rPr>
              <w:t>Applicazione misura n.12 PTPCT 2019/2021</w:t>
            </w:r>
          </w:p>
        </w:tc>
      </w:tr>
      <w:tr w:rsidR="00194F24" w:rsidTr="00194F24">
        <w:tc>
          <w:tcPr>
            <w:tcW w:w="1809" w:type="dxa"/>
            <w:vMerge/>
          </w:tcPr>
          <w:p w:rsidR="00194F24" w:rsidRPr="00194F24" w:rsidRDefault="00194F24" w:rsidP="00074D6E">
            <w:pPr>
              <w:jc w:val="center"/>
              <w:rPr>
                <w:sz w:val="20"/>
                <w:szCs w:val="20"/>
              </w:rPr>
            </w:pPr>
          </w:p>
        </w:tc>
        <w:tc>
          <w:tcPr>
            <w:tcW w:w="3961"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687"/>
            </w:tblGrid>
            <w:tr w:rsidR="00194F24" w:rsidRPr="00194F24">
              <w:trPr>
                <w:trHeight w:val="221"/>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Pagamento acconti</w:t>
                  </w:r>
                </w:p>
              </w:tc>
            </w:tr>
          </w:tbl>
          <w:p w:rsidR="00194F24" w:rsidRPr="00194F24" w:rsidRDefault="00194F24" w:rsidP="00074D6E">
            <w:pPr>
              <w:jc w:val="center"/>
              <w:rPr>
                <w:sz w:val="20"/>
                <w:szCs w:val="20"/>
              </w:rPr>
            </w:pPr>
          </w:p>
        </w:tc>
        <w:tc>
          <w:tcPr>
            <w:tcW w:w="2885"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669"/>
            </w:tblGrid>
            <w:tr w:rsidR="00194F24" w:rsidRPr="00194F24">
              <w:trPr>
                <w:trHeight w:val="551"/>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Direttore lavori o Direttore esecuzione/RUP</w:t>
                  </w:r>
                </w:p>
              </w:tc>
            </w:tr>
          </w:tbl>
          <w:p w:rsidR="00194F24" w:rsidRPr="00194F24" w:rsidRDefault="00194F24" w:rsidP="00074D6E">
            <w:pPr>
              <w:jc w:val="center"/>
              <w:rPr>
                <w:sz w:val="20"/>
                <w:szCs w:val="20"/>
              </w:rPr>
            </w:pPr>
          </w:p>
        </w:tc>
        <w:tc>
          <w:tcPr>
            <w:tcW w:w="4069"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853"/>
            </w:tblGrid>
            <w:tr w:rsidR="00194F24" w:rsidRPr="00194F24">
              <w:trPr>
                <w:trHeight w:val="852"/>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Emissione SAL e/o certificato di pagamento in assenza dei presupposti contrattuali e/o di legge; riconoscimento di importi non spettanti.</w:t>
                  </w:r>
                </w:p>
              </w:tc>
            </w:tr>
          </w:tbl>
          <w:p w:rsidR="00194F24" w:rsidRPr="00194F24" w:rsidRDefault="00194F24" w:rsidP="00074D6E">
            <w:pPr>
              <w:jc w:val="center"/>
              <w:rPr>
                <w:sz w:val="20"/>
                <w:szCs w:val="20"/>
              </w:rPr>
            </w:pPr>
          </w:p>
        </w:tc>
        <w:tc>
          <w:tcPr>
            <w:tcW w:w="1703" w:type="dxa"/>
          </w:tcPr>
          <w:p w:rsidR="00776BD1" w:rsidRDefault="00776BD1" w:rsidP="00074D6E">
            <w:pPr>
              <w:jc w:val="center"/>
              <w:rPr>
                <w:rFonts w:ascii="Garamond" w:hAnsi="Garamond"/>
                <w:sz w:val="20"/>
                <w:szCs w:val="20"/>
              </w:rPr>
            </w:pPr>
          </w:p>
          <w:p w:rsidR="00194F24" w:rsidRPr="00194F24" w:rsidRDefault="00776BD1" w:rsidP="00074D6E">
            <w:pPr>
              <w:jc w:val="center"/>
              <w:rPr>
                <w:sz w:val="20"/>
                <w:szCs w:val="20"/>
              </w:rPr>
            </w:pPr>
            <w:r w:rsidRPr="00085AA1">
              <w:rPr>
                <w:rFonts w:ascii="Garamond" w:hAnsi="Garamond"/>
                <w:sz w:val="20"/>
                <w:szCs w:val="20"/>
              </w:rPr>
              <w:t>Controllo Dirigente</w:t>
            </w:r>
          </w:p>
        </w:tc>
      </w:tr>
      <w:tr w:rsidR="00194F24" w:rsidTr="0013229F">
        <w:trPr>
          <w:trHeight w:val="2243"/>
        </w:trPr>
        <w:tc>
          <w:tcPr>
            <w:tcW w:w="1809"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593"/>
            </w:tblGrid>
            <w:tr w:rsidR="00194F24" w:rsidRPr="00194F24">
              <w:trPr>
                <w:trHeight w:val="551"/>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Rendicontazione del contratto</w:t>
                  </w:r>
                </w:p>
              </w:tc>
            </w:tr>
          </w:tbl>
          <w:p w:rsidR="00194F24" w:rsidRPr="00194F24" w:rsidRDefault="00194F24" w:rsidP="00074D6E">
            <w:pPr>
              <w:autoSpaceDE w:val="0"/>
              <w:autoSpaceDN w:val="0"/>
              <w:adjustRightInd w:val="0"/>
              <w:jc w:val="center"/>
              <w:rPr>
                <w:rFonts w:ascii="Garamond" w:eastAsiaTheme="minorHAnsi" w:hAnsi="Garamond"/>
                <w:sz w:val="20"/>
                <w:szCs w:val="20"/>
                <w:lang w:eastAsia="en-US"/>
              </w:rPr>
            </w:pPr>
          </w:p>
          <w:p w:rsidR="00194F24" w:rsidRPr="00194F24" w:rsidRDefault="00194F24" w:rsidP="00074D6E">
            <w:pPr>
              <w:jc w:val="center"/>
              <w:rPr>
                <w:sz w:val="20"/>
                <w:szCs w:val="20"/>
              </w:rPr>
            </w:pPr>
          </w:p>
        </w:tc>
        <w:tc>
          <w:tcPr>
            <w:tcW w:w="3961"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45"/>
            </w:tblGrid>
            <w:tr w:rsidR="00194F24" w:rsidRPr="00194F24">
              <w:trPr>
                <w:trHeight w:val="867"/>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Rilascio certificato di collaudo/certificato di verifica di conformità/certificato di regolare esecuzione</w:t>
                  </w:r>
                </w:p>
              </w:tc>
            </w:tr>
          </w:tbl>
          <w:p w:rsidR="00194F24" w:rsidRPr="00194F24" w:rsidRDefault="00194F24" w:rsidP="00074D6E">
            <w:pPr>
              <w:autoSpaceDE w:val="0"/>
              <w:autoSpaceDN w:val="0"/>
              <w:adjustRightInd w:val="0"/>
              <w:jc w:val="center"/>
              <w:rPr>
                <w:rFonts w:ascii="Garamond" w:eastAsiaTheme="minorHAnsi" w:hAnsi="Garamond"/>
                <w:sz w:val="20"/>
                <w:szCs w:val="20"/>
                <w:lang w:eastAsia="en-US"/>
              </w:rPr>
            </w:pPr>
          </w:p>
          <w:p w:rsidR="00194F24" w:rsidRPr="00194F24" w:rsidRDefault="00194F24" w:rsidP="00074D6E">
            <w:pPr>
              <w:jc w:val="center"/>
              <w:rPr>
                <w:sz w:val="20"/>
                <w:szCs w:val="20"/>
              </w:rPr>
            </w:pPr>
          </w:p>
        </w:tc>
        <w:tc>
          <w:tcPr>
            <w:tcW w:w="2885"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669"/>
            </w:tblGrid>
            <w:tr w:rsidR="00194F24" w:rsidRPr="00194F24">
              <w:trPr>
                <w:trHeight w:val="551"/>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Collaudatore/Direttore lavori/Direttore esecuzione/RUP</w:t>
                  </w:r>
                </w:p>
              </w:tc>
            </w:tr>
          </w:tbl>
          <w:p w:rsidR="00194F24" w:rsidRPr="00194F24" w:rsidRDefault="00194F24" w:rsidP="00074D6E">
            <w:pPr>
              <w:autoSpaceDE w:val="0"/>
              <w:autoSpaceDN w:val="0"/>
              <w:adjustRightInd w:val="0"/>
              <w:jc w:val="center"/>
              <w:rPr>
                <w:rFonts w:ascii="Garamond" w:eastAsiaTheme="minorHAnsi" w:hAnsi="Garamond"/>
                <w:sz w:val="24"/>
                <w:szCs w:val="24"/>
                <w:lang w:eastAsia="en-US"/>
              </w:rPr>
            </w:pPr>
          </w:p>
          <w:p w:rsidR="00194F24" w:rsidRPr="00194F24" w:rsidRDefault="00194F24" w:rsidP="00074D6E">
            <w:pPr>
              <w:jc w:val="center"/>
              <w:rPr>
                <w:sz w:val="20"/>
                <w:szCs w:val="20"/>
              </w:rPr>
            </w:pPr>
          </w:p>
        </w:tc>
        <w:tc>
          <w:tcPr>
            <w:tcW w:w="4069" w:type="dxa"/>
          </w:tcPr>
          <w:p w:rsidR="00194F24" w:rsidRPr="00194F24" w:rsidRDefault="00194F24" w:rsidP="00074D6E">
            <w:pPr>
              <w:autoSpaceDE w:val="0"/>
              <w:autoSpaceDN w:val="0"/>
              <w:adjustRightInd w:val="0"/>
              <w:jc w:val="center"/>
              <w:rPr>
                <w:rFonts w:ascii="Garamond" w:eastAsiaTheme="minorHAnsi" w:hAnsi="Garamond" w:cs="Garamond"/>
                <w:color w:val="000000"/>
                <w:sz w:val="24"/>
                <w:szCs w:val="24"/>
                <w:lang w:eastAsia="en-US"/>
              </w:rPr>
            </w:pPr>
          </w:p>
          <w:tbl>
            <w:tblPr>
              <w:tblW w:w="0" w:type="auto"/>
              <w:tblBorders>
                <w:top w:val="nil"/>
                <w:left w:val="nil"/>
                <w:bottom w:val="nil"/>
                <w:right w:val="nil"/>
              </w:tblBorders>
              <w:tblLook w:val="0000"/>
            </w:tblPr>
            <w:tblGrid>
              <w:gridCol w:w="3853"/>
            </w:tblGrid>
            <w:tr w:rsidR="00194F24" w:rsidRPr="00194F24">
              <w:trPr>
                <w:trHeight w:val="1798"/>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Rilascio del certificato pur in presenza di elementi che non consentirebbero il collaudo, riconoscimento di prestazioni non previste in contratto ed eseguite in assenza di autorizzazione, liquidazione di importi non spettanti.</w:t>
                  </w:r>
                </w:p>
              </w:tc>
            </w:tr>
          </w:tbl>
          <w:p w:rsidR="00194F24" w:rsidRPr="00194F24" w:rsidRDefault="00194F24" w:rsidP="00074D6E">
            <w:pPr>
              <w:jc w:val="center"/>
              <w:rPr>
                <w:sz w:val="20"/>
                <w:szCs w:val="20"/>
              </w:rPr>
            </w:pPr>
          </w:p>
        </w:tc>
        <w:tc>
          <w:tcPr>
            <w:tcW w:w="1703" w:type="dxa"/>
          </w:tcPr>
          <w:p w:rsidR="00776BD1" w:rsidRDefault="00776BD1" w:rsidP="00074D6E">
            <w:pPr>
              <w:jc w:val="center"/>
              <w:rPr>
                <w:rFonts w:ascii="Garamond" w:hAnsi="Garamond"/>
                <w:sz w:val="20"/>
                <w:szCs w:val="20"/>
              </w:rPr>
            </w:pPr>
          </w:p>
          <w:p w:rsidR="00776BD1" w:rsidRDefault="00776BD1" w:rsidP="00074D6E">
            <w:pPr>
              <w:jc w:val="center"/>
              <w:rPr>
                <w:rFonts w:ascii="Garamond" w:hAnsi="Garamond"/>
                <w:sz w:val="20"/>
                <w:szCs w:val="20"/>
              </w:rPr>
            </w:pPr>
          </w:p>
          <w:p w:rsidR="00776BD1" w:rsidRDefault="00776BD1" w:rsidP="00074D6E">
            <w:pPr>
              <w:jc w:val="center"/>
              <w:rPr>
                <w:rFonts w:ascii="Garamond" w:hAnsi="Garamond"/>
                <w:sz w:val="20"/>
                <w:szCs w:val="20"/>
              </w:rPr>
            </w:pPr>
          </w:p>
          <w:p w:rsidR="00776BD1" w:rsidRDefault="00776BD1" w:rsidP="00074D6E">
            <w:pPr>
              <w:jc w:val="center"/>
              <w:rPr>
                <w:rFonts w:ascii="Garamond" w:hAnsi="Garamond"/>
                <w:sz w:val="20"/>
                <w:szCs w:val="20"/>
              </w:rPr>
            </w:pPr>
          </w:p>
          <w:p w:rsidR="00194F24" w:rsidRPr="00194F24" w:rsidRDefault="00776BD1" w:rsidP="00074D6E">
            <w:pPr>
              <w:jc w:val="center"/>
              <w:rPr>
                <w:sz w:val="20"/>
                <w:szCs w:val="20"/>
              </w:rPr>
            </w:pPr>
            <w:r w:rsidRPr="00085AA1">
              <w:rPr>
                <w:rFonts w:ascii="Garamond" w:hAnsi="Garamond"/>
                <w:sz w:val="20"/>
                <w:szCs w:val="20"/>
              </w:rPr>
              <w:t>Controllo Dirigente</w:t>
            </w:r>
          </w:p>
        </w:tc>
      </w:tr>
      <w:tr w:rsidR="00194F24" w:rsidTr="0031424B">
        <w:tc>
          <w:tcPr>
            <w:tcW w:w="14427" w:type="dxa"/>
            <w:gridSpan w:val="5"/>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3785"/>
            </w:tblGrid>
            <w:tr w:rsidR="00194F24" w:rsidRPr="00194F24" w:rsidTr="00776BD1">
              <w:trPr>
                <w:trHeight w:val="895"/>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Le indicazioni fornite per il RUP si riferiscono anche ai membri della struttura di supporto al RUP.</w:t>
                  </w:r>
                </w:p>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Le indicazioni riferite ad organi collegiali si intendono riferite ai singoli membri.</w:t>
                  </w:r>
                </w:p>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Nel caso in cui la funzione di direttore dei lavori o direttore dell’esecuzione è svolta da un apposito ufficio, le indicazioni fornite si riferiscono ai singoli componenti dell’ufficio.</w:t>
                  </w:r>
                </w:p>
              </w:tc>
            </w:tr>
          </w:tbl>
          <w:p w:rsidR="00194F24" w:rsidRPr="00194F24" w:rsidRDefault="00194F24" w:rsidP="00074D6E">
            <w:pPr>
              <w:jc w:val="center"/>
              <w:rPr>
                <w:sz w:val="20"/>
                <w:szCs w:val="20"/>
              </w:rPr>
            </w:pPr>
          </w:p>
        </w:tc>
      </w:tr>
    </w:tbl>
    <w:p w:rsidR="00194F24" w:rsidRDefault="00194F24" w:rsidP="00074D6E">
      <w:pPr>
        <w:jc w:val="center"/>
      </w:pPr>
    </w:p>
    <w:sectPr w:rsidR="00194F24" w:rsidSect="00C87392">
      <w:pgSz w:w="16838" w:h="11906" w:orient="landscape"/>
      <w:pgMar w:top="851" w:right="962"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1423"/>
    <w:multiLevelType w:val="hybridMultilevel"/>
    <w:tmpl w:val="7A44F70A"/>
    <w:lvl w:ilvl="0" w:tplc="875077AC">
      <w:numFmt w:val="bullet"/>
      <w:lvlText w:val="-"/>
      <w:lvlJc w:val="left"/>
      <w:pPr>
        <w:ind w:left="394" w:hanging="360"/>
      </w:pPr>
      <w:rPr>
        <w:rFonts w:ascii="Garamond" w:eastAsiaTheme="minorEastAsia" w:hAnsi="Garamond" w:cstheme="minorBidi"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1">
    <w:nsid w:val="21C53AEF"/>
    <w:multiLevelType w:val="hybridMultilevel"/>
    <w:tmpl w:val="94C27BCA"/>
    <w:lvl w:ilvl="0" w:tplc="66F41192">
      <w:numFmt w:val="bullet"/>
      <w:lvlText w:val="-"/>
      <w:lvlJc w:val="left"/>
      <w:pPr>
        <w:ind w:left="394" w:hanging="360"/>
      </w:pPr>
      <w:rPr>
        <w:rFonts w:ascii="Garamond" w:eastAsiaTheme="minorEastAsia" w:hAnsi="Garamond" w:cstheme="minorBidi"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2">
    <w:nsid w:val="314D088B"/>
    <w:multiLevelType w:val="hybridMultilevel"/>
    <w:tmpl w:val="AB16F0AE"/>
    <w:lvl w:ilvl="0" w:tplc="005E69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244834"/>
    <w:multiLevelType w:val="hybridMultilevel"/>
    <w:tmpl w:val="860E4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8315C2"/>
    <w:rsid w:val="00074D6E"/>
    <w:rsid w:val="000763EB"/>
    <w:rsid w:val="00082E74"/>
    <w:rsid w:val="00085AA1"/>
    <w:rsid w:val="00194F24"/>
    <w:rsid w:val="002F3DE5"/>
    <w:rsid w:val="003601E2"/>
    <w:rsid w:val="003C57FD"/>
    <w:rsid w:val="00413CAC"/>
    <w:rsid w:val="006935C2"/>
    <w:rsid w:val="00776BD1"/>
    <w:rsid w:val="007C11A1"/>
    <w:rsid w:val="00801A4C"/>
    <w:rsid w:val="008315C2"/>
    <w:rsid w:val="008A53F2"/>
    <w:rsid w:val="00AB4B75"/>
    <w:rsid w:val="00AD13F3"/>
    <w:rsid w:val="00B06168"/>
    <w:rsid w:val="00B97AE3"/>
    <w:rsid w:val="00C31023"/>
    <w:rsid w:val="00C87392"/>
    <w:rsid w:val="00C94100"/>
    <w:rsid w:val="00D15322"/>
    <w:rsid w:val="00D256B0"/>
    <w:rsid w:val="00DB6818"/>
    <w:rsid w:val="00E80B88"/>
    <w:rsid w:val="00EC7621"/>
    <w:rsid w:val="00F42E22"/>
    <w:rsid w:val="00FB22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5C2"/>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315C2"/>
    <w:pPr>
      <w:widowControl w:val="0"/>
      <w:autoSpaceDE w:val="0"/>
      <w:autoSpaceDN w:val="0"/>
      <w:adjustRightInd w:val="0"/>
      <w:spacing w:after="0" w:line="240" w:lineRule="auto"/>
    </w:pPr>
    <w:rPr>
      <w:rFonts w:ascii="Garamond" w:eastAsiaTheme="minorEastAsia" w:hAnsi="Garamond" w:cs="Garamond"/>
      <w:color w:val="000000"/>
      <w:sz w:val="24"/>
      <w:szCs w:val="24"/>
      <w:lang w:eastAsia="it-IT"/>
    </w:rPr>
  </w:style>
  <w:style w:type="table" w:styleId="Grigliatabella">
    <w:name w:val="Table Grid"/>
    <w:basedOn w:val="Tabellanormale"/>
    <w:uiPriority w:val="59"/>
    <w:rsid w:val="008315C2"/>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C7621"/>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1939</Words>
  <Characters>11053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ugo.donatelli</dc:creator>
  <cp:lastModifiedBy>paolo.caracciolo</cp:lastModifiedBy>
  <cp:revision>4</cp:revision>
  <cp:lastPrinted>2020-01-23T09:49:00Z</cp:lastPrinted>
  <dcterms:created xsi:type="dcterms:W3CDTF">2020-01-21T11:18:00Z</dcterms:created>
  <dcterms:modified xsi:type="dcterms:W3CDTF">2020-01-23T09:49:00Z</dcterms:modified>
</cp:coreProperties>
</file>